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3D39" w14:textId="77777777" w:rsidR="003F2EB7" w:rsidRPr="006C4F64" w:rsidRDefault="003F2EB7" w:rsidP="00793AC7">
      <w:pPr>
        <w:spacing w:line="360" w:lineRule="auto"/>
        <w:jc w:val="center"/>
        <w:rPr>
          <w:rFonts w:asciiTheme="minorHAnsi" w:eastAsia="Times New Roman" w:hAnsiTheme="minorHAnsi" w:cstheme="minorHAnsi"/>
          <w:lang w:eastAsia="en-AU"/>
        </w:rPr>
      </w:pPr>
      <w:bookmarkStart w:id="0" w:name="_GoBack"/>
      <w:bookmarkEnd w:id="0"/>
      <w:r w:rsidRPr="006C4F64">
        <w:rPr>
          <w:rFonts w:asciiTheme="minorHAnsi" w:eastAsia="Times New Roman" w:hAnsiTheme="minorHAnsi" w:cstheme="minorHAnsi"/>
          <w:noProof/>
          <w:lang w:eastAsia="en-AU"/>
        </w:rPr>
        <w:drawing>
          <wp:inline distT="0" distB="0" distL="0" distR="0" wp14:anchorId="47841BFC" wp14:editId="323271EF">
            <wp:extent cx="4817745" cy="1436871"/>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1045" cy="1437855"/>
                    </a:xfrm>
                    <a:prstGeom prst="rect">
                      <a:avLst/>
                    </a:prstGeom>
                    <a:noFill/>
                    <a:ln>
                      <a:noFill/>
                    </a:ln>
                  </pic:spPr>
                </pic:pic>
              </a:graphicData>
            </a:graphic>
          </wp:inline>
        </w:drawing>
      </w:r>
    </w:p>
    <w:p w14:paraId="50367DB7" w14:textId="77777777" w:rsidR="003F2EB7" w:rsidRPr="006C4F64" w:rsidRDefault="003F2EB7" w:rsidP="00793AC7">
      <w:pPr>
        <w:spacing w:line="360" w:lineRule="auto"/>
        <w:rPr>
          <w:rFonts w:asciiTheme="minorHAnsi" w:eastAsia="Times New Roman" w:hAnsiTheme="minorHAnsi" w:cstheme="minorHAnsi"/>
          <w:lang w:eastAsia="en-AU"/>
        </w:rPr>
      </w:pPr>
    </w:p>
    <w:p w14:paraId="6B9FC96A" w14:textId="4577FC52" w:rsidR="003F2EB7" w:rsidRPr="006C4F64" w:rsidRDefault="003F2EB7" w:rsidP="00793AC7">
      <w:pPr>
        <w:spacing w:line="360" w:lineRule="auto"/>
        <w:jc w:val="center"/>
        <w:rPr>
          <w:rFonts w:asciiTheme="minorHAnsi" w:eastAsia="Times New Roman" w:hAnsiTheme="minorHAnsi" w:cstheme="minorHAnsi"/>
          <w:b/>
          <w:bCs/>
          <w:lang w:eastAsia="en-AU"/>
        </w:rPr>
      </w:pPr>
      <w:bookmarkStart w:id="1" w:name="_Hlk23044518"/>
      <w:r w:rsidRPr="006C4F64">
        <w:rPr>
          <w:rFonts w:asciiTheme="minorHAnsi" w:eastAsia="Times New Roman" w:hAnsiTheme="minorHAnsi" w:cstheme="minorHAnsi"/>
          <w:b/>
          <w:bCs/>
          <w:lang w:eastAsia="en-AU"/>
        </w:rPr>
        <w:t xml:space="preserve">Legatus Group CWMS Advisory Committee  </w:t>
      </w:r>
    </w:p>
    <w:bookmarkEnd w:id="1"/>
    <w:p w14:paraId="6BFEDFFD" w14:textId="4455B703" w:rsidR="003F2EB7" w:rsidRPr="006C4F64" w:rsidRDefault="003F2EB7" w:rsidP="00793AC7">
      <w:pPr>
        <w:spacing w:line="360" w:lineRule="auto"/>
        <w:jc w:val="center"/>
        <w:rPr>
          <w:rFonts w:asciiTheme="minorHAnsi" w:eastAsia="Times New Roman" w:hAnsiTheme="minorHAnsi" w:cstheme="minorHAnsi"/>
          <w:lang w:eastAsia="en-AU"/>
        </w:rPr>
      </w:pPr>
      <w:r w:rsidRPr="006C4F64">
        <w:rPr>
          <w:rFonts w:asciiTheme="minorHAnsi" w:eastAsia="Times New Roman" w:hAnsiTheme="minorHAnsi" w:cstheme="minorHAnsi"/>
          <w:lang w:eastAsia="en-AU"/>
        </w:rPr>
        <w:t>Friday 4</w:t>
      </w:r>
      <w:r w:rsidRPr="006C4F64">
        <w:rPr>
          <w:rFonts w:asciiTheme="minorHAnsi" w:eastAsia="Times New Roman" w:hAnsiTheme="minorHAnsi" w:cstheme="minorHAnsi"/>
          <w:vertAlign w:val="superscript"/>
          <w:lang w:eastAsia="en-AU"/>
        </w:rPr>
        <w:t>th</w:t>
      </w:r>
      <w:r w:rsidRPr="006C4F64">
        <w:rPr>
          <w:rFonts w:asciiTheme="minorHAnsi" w:eastAsia="Times New Roman" w:hAnsiTheme="minorHAnsi" w:cstheme="minorHAnsi"/>
          <w:lang w:eastAsia="en-AU"/>
        </w:rPr>
        <w:t xml:space="preserve"> November 2019</w:t>
      </w:r>
    </w:p>
    <w:p w14:paraId="627F3E1B" w14:textId="2717AC1C" w:rsidR="003F2EB7" w:rsidRPr="006C4F64" w:rsidRDefault="003F2EB7" w:rsidP="00793AC7">
      <w:pPr>
        <w:spacing w:line="360" w:lineRule="auto"/>
        <w:rPr>
          <w:rFonts w:asciiTheme="minorHAnsi" w:eastAsia="Times New Roman" w:hAnsiTheme="minorHAnsi" w:cstheme="minorHAnsi"/>
          <w:lang w:eastAsia="en-AU"/>
        </w:rPr>
      </w:pPr>
      <w:r w:rsidRPr="006C4F64">
        <w:rPr>
          <w:rFonts w:asciiTheme="minorHAnsi" w:eastAsia="Times New Roman" w:hAnsiTheme="minorHAnsi" w:cstheme="minorHAnsi"/>
          <w:lang w:eastAsia="en-AU"/>
        </w:rPr>
        <w:tab/>
      </w:r>
      <w:r w:rsidRPr="006C4F64">
        <w:rPr>
          <w:rFonts w:asciiTheme="minorHAnsi" w:eastAsia="Times New Roman" w:hAnsiTheme="minorHAnsi" w:cstheme="minorHAnsi"/>
          <w:lang w:eastAsia="en-AU"/>
        </w:rPr>
        <w:tab/>
      </w:r>
      <w:r w:rsidRPr="006C4F64">
        <w:rPr>
          <w:rFonts w:asciiTheme="minorHAnsi" w:eastAsia="Times New Roman" w:hAnsiTheme="minorHAnsi" w:cstheme="minorHAnsi"/>
          <w:lang w:eastAsia="en-AU"/>
        </w:rPr>
        <w:tab/>
      </w:r>
      <w:r w:rsidRPr="006C4F64">
        <w:rPr>
          <w:rFonts w:asciiTheme="minorHAnsi" w:eastAsia="Times New Roman" w:hAnsiTheme="minorHAnsi" w:cstheme="minorHAnsi"/>
          <w:lang w:eastAsia="en-AU"/>
        </w:rPr>
        <w:tab/>
      </w:r>
      <w:r w:rsidRPr="006C4F64">
        <w:rPr>
          <w:rFonts w:asciiTheme="minorHAnsi" w:eastAsia="Times New Roman" w:hAnsiTheme="minorHAnsi" w:cstheme="minorHAnsi"/>
          <w:lang w:eastAsia="en-AU"/>
        </w:rPr>
        <w:tab/>
        <w:t>1</w:t>
      </w:r>
      <w:r w:rsidR="004E4C3A" w:rsidRPr="006C4F64">
        <w:rPr>
          <w:rFonts w:asciiTheme="minorHAnsi" w:eastAsia="Times New Roman" w:hAnsiTheme="minorHAnsi" w:cstheme="minorHAnsi"/>
          <w:lang w:eastAsia="en-AU"/>
        </w:rPr>
        <w:t>0</w:t>
      </w:r>
      <w:r w:rsidRPr="006C4F64">
        <w:rPr>
          <w:rFonts w:asciiTheme="minorHAnsi" w:eastAsia="Times New Roman" w:hAnsiTheme="minorHAnsi" w:cstheme="minorHAnsi"/>
          <w:lang w:eastAsia="en-AU"/>
        </w:rPr>
        <w:t>.00 – 1</w:t>
      </w:r>
      <w:r w:rsidR="004E4C3A" w:rsidRPr="006C4F64">
        <w:rPr>
          <w:rFonts w:asciiTheme="minorHAnsi" w:eastAsia="Times New Roman" w:hAnsiTheme="minorHAnsi" w:cstheme="minorHAnsi"/>
          <w:lang w:eastAsia="en-AU"/>
        </w:rPr>
        <w:t>1</w:t>
      </w:r>
      <w:r w:rsidRPr="006C4F64">
        <w:rPr>
          <w:rFonts w:asciiTheme="minorHAnsi" w:eastAsia="Times New Roman" w:hAnsiTheme="minorHAnsi" w:cstheme="minorHAnsi"/>
          <w:lang w:eastAsia="en-AU"/>
        </w:rPr>
        <w:t>.30 am</w:t>
      </w:r>
    </w:p>
    <w:p w14:paraId="467E8D24" w14:textId="11688412" w:rsidR="003F2EB7" w:rsidRPr="006C4F64" w:rsidRDefault="003F2EB7" w:rsidP="00793AC7">
      <w:pPr>
        <w:spacing w:line="360" w:lineRule="auto"/>
        <w:jc w:val="center"/>
        <w:rPr>
          <w:rFonts w:asciiTheme="minorHAnsi" w:eastAsia="Times New Roman" w:hAnsiTheme="minorHAnsi" w:cstheme="minorHAnsi"/>
          <w:lang w:eastAsia="en-AU"/>
        </w:rPr>
      </w:pPr>
      <w:r w:rsidRPr="006C4F64">
        <w:rPr>
          <w:rFonts w:asciiTheme="minorHAnsi" w:eastAsia="Times New Roman" w:hAnsiTheme="minorHAnsi" w:cstheme="minorHAnsi"/>
          <w:lang w:eastAsia="en-AU"/>
        </w:rPr>
        <w:t>Legatus Office</w:t>
      </w:r>
    </w:p>
    <w:p w14:paraId="75720929" w14:textId="351954A9" w:rsidR="003F2EB7" w:rsidRPr="006C4F64" w:rsidRDefault="003F2EB7" w:rsidP="00B92825">
      <w:pPr>
        <w:spacing w:line="360" w:lineRule="auto"/>
        <w:jc w:val="center"/>
        <w:rPr>
          <w:rFonts w:asciiTheme="minorHAnsi" w:eastAsia="Times New Roman" w:hAnsiTheme="minorHAnsi" w:cstheme="minorHAnsi"/>
          <w:lang w:eastAsia="en-AU"/>
        </w:rPr>
      </w:pPr>
      <w:r w:rsidRPr="006C4F64">
        <w:rPr>
          <w:rFonts w:asciiTheme="minorHAnsi" w:eastAsia="Times New Roman" w:hAnsiTheme="minorHAnsi" w:cstheme="minorHAnsi"/>
          <w:lang w:eastAsia="en-AU"/>
        </w:rPr>
        <w:t>Main Road</w:t>
      </w:r>
      <w:r w:rsidR="00B92825" w:rsidRPr="006C4F64">
        <w:rPr>
          <w:rFonts w:asciiTheme="minorHAnsi" w:eastAsia="Times New Roman" w:hAnsiTheme="minorHAnsi" w:cstheme="minorHAnsi"/>
          <w:lang w:eastAsia="en-AU"/>
        </w:rPr>
        <w:t xml:space="preserve">, </w:t>
      </w:r>
      <w:r w:rsidRPr="006C4F64">
        <w:rPr>
          <w:rFonts w:asciiTheme="minorHAnsi" w:eastAsia="Times New Roman" w:hAnsiTheme="minorHAnsi" w:cstheme="minorHAnsi"/>
          <w:lang w:eastAsia="en-AU"/>
        </w:rPr>
        <w:t>C</w:t>
      </w:r>
      <w:r w:rsidR="004E4C3A" w:rsidRPr="006C4F64">
        <w:rPr>
          <w:rFonts w:asciiTheme="minorHAnsi" w:eastAsia="Times New Roman" w:hAnsiTheme="minorHAnsi" w:cstheme="minorHAnsi"/>
          <w:lang w:eastAsia="en-AU"/>
        </w:rPr>
        <w:t>lare</w:t>
      </w:r>
    </w:p>
    <w:p w14:paraId="34D29A58" w14:textId="77777777" w:rsidR="004E4C3A" w:rsidRPr="006C4F64" w:rsidRDefault="004E4C3A" w:rsidP="00793AC7">
      <w:pPr>
        <w:spacing w:line="360" w:lineRule="auto"/>
        <w:jc w:val="center"/>
        <w:rPr>
          <w:rFonts w:asciiTheme="minorHAnsi" w:eastAsia="Times New Roman" w:hAnsiTheme="minorHAnsi" w:cstheme="minorHAnsi"/>
          <w:lang w:eastAsia="en-AU"/>
        </w:rPr>
      </w:pPr>
    </w:p>
    <w:p w14:paraId="641BF092" w14:textId="0ACFCD6D" w:rsidR="003F2EB7" w:rsidRPr="006C4F64" w:rsidRDefault="003F2EB7" w:rsidP="008750D7">
      <w:pPr>
        <w:spacing w:line="360" w:lineRule="auto"/>
        <w:contextualSpacing/>
        <w:jc w:val="center"/>
        <w:rPr>
          <w:rFonts w:asciiTheme="minorHAnsi" w:eastAsia="Times New Roman" w:hAnsiTheme="minorHAnsi" w:cstheme="minorHAnsi"/>
          <w:b/>
          <w:bCs/>
          <w:lang w:eastAsia="en-AU"/>
        </w:rPr>
      </w:pPr>
      <w:r w:rsidRPr="006C4F64">
        <w:rPr>
          <w:rFonts w:asciiTheme="minorHAnsi" w:eastAsia="Times New Roman" w:hAnsiTheme="minorHAnsi" w:cstheme="minorHAnsi"/>
          <w:b/>
          <w:bCs/>
          <w:lang w:eastAsia="en-AU"/>
        </w:rPr>
        <w:t xml:space="preserve">AGENDA </w:t>
      </w:r>
    </w:p>
    <w:p w14:paraId="1EE90C86" w14:textId="06113F5E" w:rsidR="003F2EB7" w:rsidRPr="006C4F64" w:rsidRDefault="003F2EB7" w:rsidP="00793AC7">
      <w:pPr>
        <w:pStyle w:val="ListParagraph"/>
        <w:numPr>
          <w:ilvl w:val="0"/>
          <w:numId w:val="1"/>
        </w:numPr>
        <w:spacing w:line="360" w:lineRule="auto"/>
        <w:ind w:left="714" w:hanging="357"/>
        <w:rPr>
          <w:rFonts w:asciiTheme="minorHAnsi" w:hAnsiTheme="minorHAnsi" w:cstheme="minorHAnsi"/>
          <w:b/>
          <w:lang w:bidi="en-US"/>
        </w:rPr>
      </w:pPr>
      <w:r w:rsidRPr="006C4F64">
        <w:rPr>
          <w:rFonts w:asciiTheme="minorHAnsi" w:hAnsiTheme="minorHAnsi" w:cstheme="minorHAnsi"/>
          <w:b/>
          <w:lang w:bidi="en-US"/>
        </w:rPr>
        <w:t>Welcome and apologies</w:t>
      </w:r>
    </w:p>
    <w:p w14:paraId="1C7BCD72" w14:textId="77777777" w:rsidR="003F2EB7" w:rsidRPr="006C4F64" w:rsidRDefault="003F2EB7" w:rsidP="00793AC7">
      <w:pPr>
        <w:pStyle w:val="ListParagraph"/>
        <w:spacing w:line="360" w:lineRule="auto"/>
        <w:ind w:left="714"/>
        <w:rPr>
          <w:rFonts w:asciiTheme="minorHAnsi" w:hAnsiTheme="minorHAnsi" w:cstheme="minorHAnsi"/>
          <w:bCs/>
          <w:lang w:bidi="en-US"/>
        </w:rPr>
      </w:pPr>
    </w:p>
    <w:p w14:paraId="54854530" w14:textId="77777777" w:rsidR="003F2EB7" w:rsidRPr="006C4F64" w:rsidRDefault="003F2EB7" w:rsidP="00793AC7">
      <w:pPr>
        <w:pStyle w:val="ListParagraph"/>
        <w:numPr>
          <w:ilvl w:val="0"/>
          <w:numId w:val="1"/>
        </w:numPr>
        <w:spacing w:line="360" w:lineRule="auto"/>
        <w:ind w:left="714" w:hanging="357"/>
        <w:rPr>
          <w:rFonts w:asciiTheme="minorHAnsi" w:hAnsiTheme="minorHAnsi" w:cstheme="minorHAnsi"/>
          <w:b/>
          <w:lang w:bidi="en-US"/>
        </w:rPr>
      </w:pPr>
      <w:r w:rsidRPr="006C4F64">
        <w:rPr>
          <w:rFonts w:asciiTheme="minorHAnsi" w:hAnsiTheme="minorHAnsi" w:cstheme="minorHAnsi"/>
          <w:b/>
          <w:lang w:bidi="en-US"/>
        </w:rPr>
        <w:t>Previous Minutes</w:t>
      </w:r>
    </w:p>
    <w:p w14:paraId="47D80D2D" w14:textId="15D7B5C8" w:rsidR="003F2EB7" w:rsidRDefault="003F2EB7" w:rsidP="004E0A4C">
      <w:pPr>
        <w:spacing w:line="360" w:lineRule="auto"/>
        <w:rPr>
          <w:rFonts w:asciiTheme="minorHAnsi" w:hAnsiTheme="minorHAnsi" w:cstheme="minorHAnsi"/>
          <w:bCs/>
          <w:lang w:bidi="en-US"/>
        </w:rPr>
      </w:pPr>
      <w:r w:rsidRPr="006C4F64">
        <w:rPr>
          <w:rFonts w:asciiTheme="minorHAnsi" w:hAnsiTheme="minorHAnsi" w:cstheme="minorHAnsi"/>
          <w:bCs/>
          <w:lang w:bidi="en-US"/>
        </w:rPr>
        <w:t xml:space="preserve">Draft Minutes from </w:t>
      </w:r>
      <w:r w:rsidR="00923E8F" w:rsidRPr="006C4F64">
        <w:rPr>
          <w:rFonts w:asciiTheme="minorHAnsi" w:hAnsiTheme="minorHAnsi" w:cstheme="minorHAnsi"/>
        </w:rPr>
        <w:t xml:space="preserve">the </w:t>
      </w:r>
      <w:r w:rsidR="006C4F64" w:rsidRPr="006C4F64">
        <w:rPr>
          <w:rFonts w:asciiTheme="minorHAnsi" w:hAnsiTheme="minorHAnsi" w:cstheme="minorHAnsi"/>
        </w:rPr>
        <w:t xml:space="preserve">meeting of the </w:t>
      </w:r>
      <w:r w:rsidR="00923E8F" w:rsidRPr="006C4F64">
        <w:rPr>
          <w:rFonts w:asciiTheme="minorHAnsi" w:hAnsiTheme="minorHAnsi" w:cstheme="minorHAnsi"/>
        </w:rPr>
        <w:t xml:space="preserve">Legatus Group CWMS Advisory Committee (the </w:t>
      </w:r>
      <w:r w:rsidR="006347B1" w:rsidRPr="006C4F64">
        <w:rPr>
          <w:rFonts w:asciiTheme="minorHAnsi" w:hAnsiTheme="minorHAnsi" w:cstheme="minorHAnsi"/>
        </w:rPr>
        <w:t xml:space="preserve">Advisory </w:t>
      </w:r>
      <w:r w:rsidR="00923E8F" w:rsidRPr="006C4F64">
        <w:rPr>
          <w:rFonts w:asciiTheme="minorHAnsi" w:hAnsiTheme="minorHAnsi" w:cstheme="minorHAnsi"/>
        </w:rPr>
        <w:t xml:space="preserve">Committee) </w:t>
      </w:r>
      <w:r w:rsidR="006C4F64" w:rsidRPr="006C4F64">
        <w:rPr>
          <w:rFonts w:asciiTheme="minorHAnsi" w:hAnsiTheme="minorHAnsi" w:cstheme="minorHAnsi"/>
        </w:rPr>
        <w:t>on</w:t>
      </w:r>
      <w:r w:rsidRPr="006C4F64">
        <w:rPr>
          <w:rFonts w:asciiTheme="minorHAnsi" w:hAnsiTheme="minorHAnsi" w:cstheme="minorHAnsi"/>
          <w:bCs/>
          <w:lang w:bidi="en-US"/>
        </w:rPr>
        <w:t xml:space="preserve"> 19</w:t>
      </w:r>
      <w:r w:rsidRPr="006C4F64">
        <w:rPr>
          <w:rFonts w:asciiTheme="minorHAnsi" w:hAnsiTheme="minorHAnsi" w:cstheme="minorHAnsi"/>
          <w:bCs/>
          <w:vertAlign w:val="superscript"/>
          <w:lang w:bidi="en-US"/>
        </w:rPr>
        <w:t>th</w:t>
      </w:r>
      <w:r w:rsidRPr="006C4F64">
        <w:rPr>
          <w:rFonts w:asciiTheme="minorHAnsi" w:hAnsiTheme="minorHAnsi" w:cstheme="minorHAnsi"/>
          <w:bCs/>
          <w:lang w:bidi="en-US"/>
        </w:rPr>
        <w:t xml:space="preserve"> July 2019 are </w:t>
      </w:r>
      <w:r w:rsidR="00EA02ED">
        <w:rPr>
          <w:rFonts w:asciiTheme="minorHAnsi" w:hAnsiTheme="minorHAnsi" w:cstheme="minorHAnsi"/>
          <w:bCs/>
          <w:lang w:bidi="en-US"/>
        </w:rPr>
        <w:t>attached:</w:t>
      </w:r>
    </w:p>
    <w:p w14:paraId="0F65882F" w14:textId="3B79EB70" w:rsidR="00EA02ED" w:rsidRDefault="006F5B74" w:rsidP="004E0A4C">
      <w:pPr>
        <w:spacing w:line="360" w:lineRule="auto"/>
        <w:rPr>
          <w:rFonts w:asciiTheme="minorHAnsi" w:hAnsiTheme="minorHAnsi" w:cstheme="minorHAnsi"/>
          <w:bCs/>
          <w:lang w:bidi="en-US"/>
        </w:rPr>
      </w:pPr>
      <w:r w:rsidRPr="006F5B74">
        <w:rPr>
          <w:rFonts w:asciiTheme="minorHAnsi" w:hAnsiTheme="minorHAnsi" w:cstheme="minorHAnsi"/>
          <w:bCs/>
          <w:noProof/>
          <w:lang w:bidi="en-US"/>
        </w:rPr>
        <w:object w:dxaOrig="1520" w:dyaOrig="985" w14:anchorId="4F49F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9pt;height:49.3pt;mso-width-percent:0;mso-height-percent:0;mso-width-percent:0;mso-height-percent:0" o:ole="">
            <v:imagedata r:id="rId8" o:title=""/>
          </v:shape>
          <o:OLEObject Type="Embed" ProgID="Acrobat.Document.DC" ShapeID="_x0000_i1025" DrawAspect="Icon" ObjectID="_1633921249" r:id="rId9"/>
        </w:object>
      </w:r>
    </w:p>
    <w:p w14:paraId="791B8FAE" w14:textId="77777777" w:rsidR="004E4C3A" w:rsidRPr="006C4F64" w:rsidRDefault="004E4C3A" w:rsidP="00EA02ED">
      <w:pPr>
        <w:spacing w:line="360" w:lineRule="auto"/>
        <w:rPr>
          <w:rFonts w:asciiTheme="minorHAnsi" w:hAnsiTheme="minorHAnsi" w:cstheme="minorHAnsi"/>
          <w:bCs/>
          <w:lang w:bidi="en-US"/>
        </w:rPr>
      </w:pPr>
    </w:p>
    <w:p w14:paraId="2E901699" w14:textId="0EC5E849" w:rsidR="003F2EB7" w:rsidRPr="006C4F64" w:rsidRDefault="003F2EB7" w:rsidP="00793AC7">
      <w:pPr>
        <w:pStyle w:val="ListParagraph"/>
        <w:numPr>
          <w:ilvl w:val="0"/>
          <w:numId w:val="1"/>
        </w:numPr>
        <w:spacing w:line="360" w:lineRule="auto"/>
        <w:rPr>
          <w:rFonts w:asciiTheme="minorHAnsi" w:hAnsiTheme="minorHAnsi" w:cstheme="minorHAnsi"/>
          <w:b/>
          <w:bCs/>
          <w:lang w:bidi="en-US"/>
        </w:rPr>
      </w:pPr>
      <w:r w:rsidRPr="006C4F64">
        <w:rPr>
          <w:rFonts w:asciiTheme="minorHAnsi" w:hAnsiTheme="minorHAnsi" w:cstheme="minorHAnsi"/>
          <w:b/>
          <w:bCs/>
        </w:rPr>
        <w:t>Proposal to extend</w:t>
      </w:r>
      <w:r w:rsidR="00A25CCA" w:rsidRPr="006C4F64">
        <w:rPr>
          <w:rFonts w:asciiTheme="minorHAnsi" w:hAnsiTheme="minorHAnsi" w:cstheme="minorHAnsi"/>
          <w:b/>
          <w:bCs/>
        </w:rPr>
        <w:t xml:space="preserve"> LGA funding</w:t>
      </w:r>
    </w:p>
    <w:p w14:paraId="51073049" w14:textId="4FC1E695" w:rsidR="00A73452" w:rsidRPr="006C4F64" w:rsidRDefault="00A73452" w:rsidP="004E0A4C">
      <w:pPr>
        <w:pStyle w:val="ListParagraph"/>
        <w:spacing w:line="360" w:lineRule="auto"/>
        <w:ind w:left="0"/>
        <w:jc w:val="both"/>
        <w:rPr>
          <w:rFonts w:asciiTheme="minorHAnsi" w:hAnsiTheme="minorHAnsi" w:cstheme="minorHAnsi"/>
        </w:rPr>
      </w:pPr>
      <w:r w:rsidRPr="006C4F64">
        <w:rPr>
          <w:rFonts w:asciiTheme="minorHAnsi" w:hAnsiTheme="minorHAnsi" w:cstheme="minorHAnsi"/>
        </w:rPr>
        <w:t>Legatus has updated the LGA</w:t>
      </w:r>
      <w:r w:rsidR="004E0A4C" w:rsidRPr="006C4F64">
        <w:rPr>
          <w:rFonts w:asciiTheme="minorHAnsi" w:hAnsiTheme="minorHAnsi" w:cstheme="minorHAnsi"/>
        </w:rPr>
        <w:t xml:space="preserve"> CWMS </w:t>
      </w:r>
      <w:r w:rsidRPr="006C4F64">
        <w:rPr>
          <w:rFonts w:asciiTheme="minorHAnsi" w:hAnsiTheme="minorHAnsi" w:cstheme="minorHAnsi"/>
        </w:rPr>
        <w:t xml:space="preserve">Management Committee on </w:t>
      </w:r>
      <w:r w:rsidR="005809C0" w:rsidRPr="006C4F64">
        <w:rPr>
          <w:rFonts w:asciiTheme="minorHAnsi" w:hAnsiTheme="minorHAnsi" w:cstheme="minorHAnsi"/>
        </w:rPr>
        <w:t>its</w:t>
      </w:r>
      <w:r w:rsidRPr="006C4F64">
        <w:rPr>
          <w:rFonts w:asciiTheme="minorHAnsi" w:hAnsiTheme="minorHAnsi" w:cstheme="minorHAnsi"/>
        </w:rPr>
        <w:t xml:space="preserve"> CWMS activities and </w:t>
      </w:r>
      <w:r w:rsidR="004E0A4C" w:rsidRPr="006C4F64">
        <w:rPr>
          <w:rFonts w:asciiTheme="minorHAnsi" w:hAnsiTheme="minorHAnsi" w:cstheme="minorHAnsi"/>
        </w:rPr>
        <w:t xml:space="preserve">is </w:t>
      </w:r>
      <w:r w:rsidRPr="006C4F64">
        <w:rPr>
          <w:rFonts w:asciiTheme="minorHAnsi" w:hAnsiTheme="minorHAnsi" w:cstheme="minorHAnsi"/>
        </w:rPr>
        <w:t>propos</w:t>
      </w:r>
      <w:r w:rsidR="004E0A4C" w:rsidRPr="006C4F64">
        <w:rPr>
          <w:rFonts w:asciiTheme="minorHAnsi" w:hAnsiTheme="minorHAnsi" w:cstheme="minorHAnsi"/>
        </w:rPr>
        <w:t>ing</w:t>
      </w:r>
      <w:r w:rsidRPr="006C4F64">
        <w:rPr>
          <w:rFonts w:asciiTheme="minorHAnsi" w:hAnsiTheme="minorHAnsi" w:cstheme="minorHAnsi"/>
        </w:rPr>
        <w:t xml:space="preserve"> an extension of the </w:t>
      </w:r>
      <w:r w:rsidR="004E0A4C" w:rsidRPr="006C4F64">
        <w:rPr>
          <w:rFonts w:asciiTheme="minorHAnsi" w:hAnsiTheme="minorHAnsi" w:cstheme="minorHAnsi"/>
        </w:rPr>
        <w:t>current a</w:t>
      </w:r>
      <w:r w:rsidRPr="006C4F64">
        <w:rPr>
          <w:rFonts w:asciiTheme="minorHAnsi" w:hAnsiTheme="minorHAnsi" w:cstheme="minorHAnsi"/>
        </w:rPr>
        <w:t xml:space="preserve">rrangements </w:t>
      </w:r>
      <w:r w:rsidR="000103CB" w:rsidRPr="006C4F64">
        <w:rPr>
          <w:rFonts w:asciiTheme="minorHAnsi" w:hAnsiTheme="minorHAnsi" w:cstheme="minorHAnsi"/>
        </w:rPr>
        <w:t xml:space="preserve">which fund the Project Officer role </w:t>
      </w:r>
      <w:r w:rsidRPr="006C4F64">
        <w:rPr>
          <w:rFonts w:asciiTheme="minorHAnsi" w:hAnsiTheme="minorHAnsi" w:cstheme="minorHAnsi"/>
        </w:rPr>
        <w:t>from 11 March 2020 to end June 2021.</w:t>
      </w:r>
    </w:p>
    <w:p w14:paraId="40C85456" w14:textId="66409436" w:rsidR="00923E8F" w:rsidRDefault="00D371D5" w:rsidP="004E0A4C">
      <w:pPr>
        <w:pStyle w:val="ListParagraph"/>
        <w:spacing w:line="360" w:lineRule="auto"/>
        <w:ind w:left="0"/>
        <w:jc w:val="both"/>
        <w:rPr>
          <w:rFonts w:asciiTheme="minorHAnsi" w:hAnsiTheme="minorHAnsi" w:cstheme="minorHAnsi"/>
        </w:rPr>
      </w:pPr>
      <w:r w:rsidRPr="006C4F64">
        <w:rPr>
          <w:rFonts w:asciiTheme="minorHAnsi" w:hAnsiTheme="minorHAnsi" w:cstheme="minorHAnsi"/>
        </w:rPr>
        <w:t xml:space="preserve">The </w:t>
      </w:r>
      <w:r w:rsidR="00A25CCA" w:rsidRPr="006C4F64">
        <w:rPr>
          <w:rFonts w:asciiTheme="minorHAnsi" w:hAnsiTheme="minorHAnsi" w:cstheme="minorHAnsi"/>
        </w:rPr>
        <w:t xml:space="preserve">update and </w:t>
      </w:r>
      <w:r w:rsidRPr="006C4F64">
        <w:rPr>
          <w:rFonts w:asciiTheme="minorHAnsi" w:hAnsiTheme="minorHAnsi" w:cstheme="minorHAnsi"/>
        </w:rPr>
        <w:t>p</w:t>
      </w:r>
      <w:r w:rsidR="00A73452" w:rsidRPr="006C4F64">
        <w:rPr>
          <w:rFonts w:asciiTheme="minorHAnsi" w:hAnsiTheme="minorHAnsi" w:cstheme="minorHAnsi"/>
        </w:rPr>
        <w:t xml:space="preserve">roposal </w:t>
      </w:r>
      <w:r w:rsidR="00A25CCA" w:rsidRPr="006C4F64">
        <w:rPr>
          <w:rFonts w:asciiTheme="minorHAnsi" w:hAnsiTheme="minorHAnsi" w:cstheme="minorHAnsi"/>
        </w:rPr>
        <w:t>are</w:t>
      </w:r>
      <w:r w:rsidR="00A73452" w:rsidRPr="006C4F64">
        <w:rPr>
          <w:rFonts w:asciiTheme="minorHAnsi" w:hAnsiTheme="minorHAnsi" w:cstheme="minorHAnsi"/>
        </w:rPr>
        <w:t xml:space="preserve"> a</w:t>
      </w:r>
      <w:r w:rsidRPr="006C4F64">
        <w:rPr>
          <w:rFonts w:asciiTheme="minorHAnsi" w:hAnsiTheme="minorHAnsi" w:cstheme="minorHAnsi"/>
        </w:rPr>
        <w:t>vailable</w:t>
      </w:r>
      <w:r w:rsidR="00923E8F" w:rsidRPr="006C4F64">
        <w:rPr>
          <w:rFonts w:asciiTheme="minorHAnsi" w:hAnsiTheme="minorHAnsi" w:cstheme="minorHAnsi"/>
        </w:rPr>
        <w:t xml:space="preserve"> as </w:t>
      </w:r>
      <w:r w:rsidR="00923E8F" w:rsidRPr="006C4F64">
        <w:rPr>
          <w:rFonts w:asciiTheme="minorHAnsi" w:hAnsiTheme="minorHAnsi" w:cstheme="minorHAnsi"/>
          <w:b/>
          <w:bCs/>
        </w:rPr>
        <w:t xml:space="preserve">Appendix </w:t>
      </w:r>
      <w:r w:rsidR="004E0A4C" w:rsidRPr="006C4F64">
        <w:rPr>
          <w:rFonts w:asciiTheme="minorHAnsi" w:hAnsiTheme="minorHAnsi" w:cstheme="minorHAnsi"/>
          <w:b/>
          <w:bCs/>
        </w:rPr>
        <w:t>1</w:t>
      </w:r>
      <w:r w:rsidR="004E0A4C" w:rsidRPr="006C4F64">
        <w:rPr>
          <w:rFonts w:asciiTheme="minorHAnsi" w:hAnsiTheme="minorHAnsi" w:cstheme="minorHAnsi"/>
        </w:rPr>
        <w:t xml:space="preserve"> </w:t>
      </w:r>
      <w:r w:rsidR="00923E8F" w:rsidRPr="006C4F64">
        <w:rPr>
          <w:rFonts w:asciiTheme="minorHAnsi" w:hAnsiTheme="minorHAnsi" w:cstheme="minorHAnsi"/>
        </w:rPr>
        <w:t>below.</w:t>
      </w:r>
    </w:p>
    <w:p w14:paraId="5682D4C6" w14:textId="77777777" w:rsidR="00036CA4" w:rsidRPr="006C4F64" w:rsidRDefault="00036CA4" w:rsidP="004E0A4C">
      <w:pPr>
        <w:pStyle w:val="ListParagraph"/>
        <w:spacing w:line="360" w:lineRule="auto"/>
        <w:ind w:left="0"/>
        <w:jc w:val="both"/>
        <w:rPr>
          <w:rFonts w:asciiTheme="minorHAnsi" w:hAnsiTheme="minorHAnsi" w:cstheme="minorHAnsi"/>
        </w:rPr>
      </w:pPr>
    </w:p>
    <w:p w14:paraId="021759A9" w14:textId="30D39A13" w:rsidR="00A73452" w:rsidRPr="00A535C5" w:rsidRDefault="00923E8F" w:rsidP="006C4F64">
      <w:pPr>
        <w:pStyle w:val="ListParagraph"/>
        <w:spacing w:line="360" w:lineRule="auto"/>
        <w:ind w:left="0"/>
        <w:jc w:val="both"/>
        <w:rPr>
          <w:rFonts w:asciiTheme="minorHAnsi" w:hAnsiTheme="minorHAnsi" w:cstheme="minorHAnsi"/>
          <w:i/>
          <w:iCs/>
        </w:rPr>
      </w:pPr>
      <w:r w:rsidRPr="00A535C5">
        <w:rPr>
          <w:rFonts w:asciiTheme="minorHAnsi" w:hAnsiTheme="minorHAnsi" w:cstheme="minorHAnsi"/>
          <w:i/>
          <w:iCs/>
        </w:rPr>
        <w:t xml:space="preserve">It is </w:t>
      </w:r>
      <w:r w:rsidRPr="00A535C5">
        <w:rPr>
          <w:rFonts w:asciiTheme="minorHAnsi" w:hAnsiTheme="minorHAnsi" w:cstheme="minorHAnsi"/>
          <w:b/>
          <w:bCs/>
          <w:i/>
          <w:iCs/>
        </w:rPr>
        <w:t>for discussion</w:t>
      </w:r>
      <w:r w:rsidRPr="00A535C5">
        <w:rPr>
          <w:rFonts w:asciiTheme="minorHAnsi" w:hAnsiTheme="minorHAnsi" w:cstheme="minorHAnsi"/>
          <w:i/>
          <w:iCs/>
        </w:rPr>
        <w:t xml:space="preserve"> that the </w:t>
      </w:r>
      <w:r w:rsidR="006F2247" w:rsidRPr="00A535C5">
        <w:rPr>
          <w:rFonts w:asciiTheme="minorHAnsi" w:hAnsiTheme="minorHAnsi" w:cstheme="minorHAnsi"/>
          <w:i/>
          <w:iCs/>
        </w:rPr>
        <w:t xml:space="preserve">Advisory </w:t>
      </w:r>
      <w:r w:rsidRPr="00A535C5">
        <w:rPr>
          <w:rFonts w:asciiTheme="minorHAnsi" w:hAnsiTheme="minorHAnsi" w:cstheme="minorHAnsi"/>
          <w:i/>
          <w:iCs/>
        </w:rPr>
        <w:t xml:space="preserve">Committee recommends </w:t>
      </w:r>
      <w:r w:rsidR="006C4F64" w:rsidRPr="00A535C5">
        <w:rPr>
          <w:rFonts w:asciiTheme="minorHAnsi" w:hAnsiTheme="minorHAnsi" w:cstheme="minorHAnsi"/>
          <w:i/>
          <w:iCs/>
        </w:rPr>
        <w:t xml:space="preserve">to </w:t>
      </w:r>
      <w:r w:rsidRPr="00A535C5">
        <w:rPr>
          <w:rFonts w:asciiTheme="minorHAnsi" w:hAnsiTheme="minorHAnsi" w:cstheme="minorHAnsi"/>
          <w:i/>
          <w:iCs/>
        </w:rPr>
        <w:t xml:space="preserve">the Legatus Group </w:t>
      </w:r>
      <w:r w:rsidR="006C4F64" w:rsidRPr="00A535C5">
        <w:rPr>
          <w:rFonts w:asciiTheme="minorHAnsi" w:hAnsiTheme="minorHAnsi" w:cstheme="minorHAnsi"/>
          <w:i/>
          <w:iCs/>
        </w:rPr>
        <w:t>that it</w:t>
      </w:r>
      <w:r w:rsidRPr="00A535C5">
        <w:rPr>
          <w:rFonts w:asciiTheme="minorHAnsi" w:hAnsiTheme="minorHAnsi" w:cstheme="minorHAnsi"/>
          <w:i/>
          <w:iCs/>
        </w:rPr>
        <w:t xml:space="preserve"> </w:t>
      </w:r>
      <w:r w:rsidR="006C4F64" w:rsidRPr="00A535C5">
        <w:rPr>
          <w:rFonts w:asciiTheme="minorHAnsi" w:hAnsiTheme="minorHAnsi" w:cstheme="minorHAnsi"/>
          <w:i/>
          <w:iCs/>
        </w:rPr>
        <w:t xml:space="preserve">forward its </w:t>
      </w:r>
      <w:r w:rsidRPr="00A535C5">
        <w:rPr>
          <w:rFonts w:asciiTheme="minorHAnsi" w:hAnsiTheme="minorHAnsi" w:cstheme="minorHAnsi"/>
          <w:i/>
          <w:iCs/>
        </w:rPr>
        <w:t>support</w:t>
      </w:r>
      <w:r w:rsidR="006C4F64" w:rsidRPr="00A535C5">
        <w:rPr>
          <w:rFonts w:asciiTheme="minorHAnsi" w:hAnsiTheme="minorHAnsi" w:cstheme="minorHAnsi"/>
          <w:i/>
          <w:iCs/>
        </w:rPr>
        <w:t xml:space="preserve"> for the</w:t>
      </w:r>
      <w:r w:rsidRPr="00A535C5">
        <w:rPr>
          <w:rFonts w:asciiTheme="minorHAnsi" w:hAnsiTheme="minorHAnsi" w:cstheme="minorHAnsi"/>
          <w:i/>
          <w:iCs/>
        </w:rPr>
        <w:t xml:space="preserve"> proposal</w:t>
      </w:r>
      <w:r w:rsidR="006C4F64" w:rsidRPr="00A535C5">
        <w:rPr>
          <w:rFonts w:asciiTheme="minorHAnsi" w:hAnsiTheme="minorHAnsi" w:cstheme="minorHAnsi"/>
          <w:i/>
          <w:iCs/>
        </w:rPr>
        <w:t xml:space="preserve"> to the LGA CWMS Management Group</w:t>
      </w:r>
      <w:r w:rsidRPr="00A535C5">
        <w:rPr>
          <w:rFonts w:asciiTheme="minorHAnsi" w:hAnsiTheme="minorHAnsi" w:cstheme="minorHAnsi"/>
          <w:i/>
          <w:iCs/>
        </w:rPr>
        <w:t>.</w:t>
      </w:r>
    </w:p>
    <w:p w14:paraId="05A9121E" w14:textId="77777777" w:rsidR="000C0DD4" w:rsidRPr="006C4F64" w:rsidRDefault="000C0DD4" w:rsidP="00793AC7">
      <w:pPr>
        <w:spacing w:line="360" w:lineRule="auto"/>
        <w:ind w:left="360"/>
        <w:rPr>
          <w:rFonts w:asciiTheme="minorHAnsi" w:hAnsiTheme="minorHAnsi" w:cstheme="minorHAnsi"/>
          <w:bCs/>
          <w:lang w:bidi="en-US"/>
        </w:rPr>
      </w:pPr>
    </w:p>
    <w:p w14:paraId="4D154EE4" w14:textId="5AD8C0E0" w:rsidR="004E4C3A" w:rsidRPr="006C4F64" w:rsidRDefault="00D371D5" w:rsidP="00793AC7">
      <w:pPr>
        <w:pStyle w:val="ListParagraph"/>
        <w:numPr>
          <w:ilvl w:val="0"/>
          <w:numId w:val="1"/>
        </w:numPr>
        <w:spacing w:line="360" w:lineRule="auto"/>
        <w:rPr>
          <w:rFonts w:asciiTheme="minorHAnsi" w:hAnsiTheme="minorHAnsi" w:cstheme="minorHAnsi"/>
          <w:b/>
          <w:bCs/>
          <w:lang w:bidi="en-US"/>
        </w:rPr>
      </w:pPr>
      <w:r w:rsidRPr="006C4F64">
        <w:rPr>
          <w:rFonts w:asciiTheme="minorHAnsi" w:hAnsiTheme="minorHAnsi" w:cstheme="minorHAnsi"/>
          <w:b/>
          <w:bCs/>
        </w:rPr>
        <w:t xml:space="preserve">A </w:t>
      </w:r>
      <w:r w:rsidR="00A25CCA" w:rsidRPr="006C4F64">
        <w:rPr>
          <w:rFonts w:asciiTheme="minorHAnsi" w:hAnsiTheme="minorHAnsi" w:cstheme="minorHAnsi"/>
          <w:b/>
          <w:bCs/>
        </w:rPr>
        <w:t xml:space="preserve">proposal for a </w:t>
      </w:r>
      <w:r w:rsidR="00D7597E" w:rsidRPr="006C4F64">
        <w:rPr>
          <w:rFonts w:asciiTheme="minorHAnsi" w:hAnsiTheme="minorHAnsi" w:cstheme="minorHAnsi"/>
          <w:b/>
          <w:bCs/>
        </w:rPr>
        <w:t>training</w:t>
      </w:r>
      <w:r w:rsidR="003F2EB7" w:rsidRPr="006C4F64">
        <w:rPr>
          <w:rFonts w:asciiTheme="minorHAnsi" w:hAnsiTheme="minorHAnsi" w:cstheme="minorHAnsi"/>
          <w:b/>
          <w:bCs/>
        </w:rPr>
        <w:t xml:space="preserve"> </w:t>
      </w:r>
      <w:r w:rsidRPr="006C4F64">
        <w:rPr>
          <w:rFonts w:asciiTheme="minorHAnsi" w:hAnsiTheme="minorHAnsi" w:cstheme="minorHAnsi"/>
          <w:b/>
          <w:bCs/>
        </w:rPr>
        <w:t>c</w:t>
      </w:r>
      <w:r w:rsidR="003F2EB7" w:rsidRPr="006C4F64">
        <w:rPr>
          <w:rFonts w:asciiTheme="minorHAnsi" w:hAnsiTheme="minorHAnsi" w:cstheme="minorHAnsi"/>
          <w:b/>
          <w:bCs/>
        </w:rPr>
        <w:t>ourse</w:t>
      </w:r>
      <w:r w:rsidRPr="006C4F64">
        <w:rPr>
          <w:rFonts w:asciiTheme="minorHAnsi" w:hAnsiTheme="minorHAnsi" w:cstheme="minorHAnsi"/>
          <w:b/>
          <w:bCs/>
        </w:rPr>
        <w:t xml:space="preserve"> in regulatory compliance</w:t>
      </w:r>
    </w:p>
    <w:p w14:paraId="0E0D39EC" w14:textId="2A724F8A" w:rsidR="00072218" w:rsidRPr="006C4F64" w:rsidRDefault="00072218" w:rsidP="00072218">
      <w:pPr>
        <w:spacing w:line="360" w:lineRule="auto"/>
        <w:rPr>
          <w:rFonts w:cstheme="minorHAnsi"/>
        </w:rPr>
      </w:pPr>
      <w:r w:rsidRPr="006C4F64">
        <w:rPr>
          <w:rFonts w:cstheme="minorHAnsi"/>
        </w:rPr>
        <w:t xml:space="preserve">The </w:t>
      </w:r>
      <w:r w:rsidR="006F2247" w:rsidRPr="006C4F64">
        <w:rPr>
          <w:rFonts w:cstheme="minorHAnsi"/>
        </w:rPr>
        <w:t xml:space="preserve">Advisory </w:t>
      </w:r>
      <w:r w:rsidRPr="006C4F64">
        <w:rPr>
          <w:rFonts w:cstheme="minorHAnsi"/>
        </w:rPr>
        <w:t>Committee’s program includes work aimed at cutting the cost of regulatory compliance</w:t>
      </w:r>
      <w:r w:rsidR="006C4F64">
        <w:rPr>
          <w:rFonts w:cstheme="minorHAnsi"/>
        </w:rPr>
        <w:t xml:space="preserve"> and i</w:t>
      </w:r>
      <w:r w:rsidR="006F2247" w:rsidRPr="006C4F64">
        <w:rPr>
          <w:rFonts w:cstheme="minorHAnsi"/>
        </w:rPr>
        <w:t>t</w:t>
      </w:r>
      <w:r w:rsidRPr="006C4F64">
        <w:rPr>
          <w:rFonts w:cstheme="minorHAnsi"/>
        </w:rPr>
        <w:t xml:space="preserve"> has heard that </w:t>
      </w:r>
      <w:r w:rsidR="006C4F64">
        <w:rPr>
          <w:rFonts w:cstheme="minorHAnsi"/>
        </w:rPr>
        <w:t>thos</w:t>
      </w:r>
      <w:r w:rsidRPr="006C4F64">
        <w:rPr>
          <w:rFonts w:cstheme="minorHAnsi"/>
        </w:rPr>
        <w:t xml:space="preserve">e costs are higher for regional Councils because of </w:t>
      </w:r>
      <w:r w:rsidR="00A535C5">
        <w:rPr>
          <w:rFonts w:cstheme="minorHAnsi"/>
        </w:rPr>
        <w:t xml:space="preserve">a </w:t>
      </w:r>
      <w:r w:rsidRPr="006C4F64">
        <w:rPr>
          <w:rFonts w:cstheme="minorHAnsi"/>
        </w:rPr>
        <w:t>lack of specialist staff and skills and because of the high</w:t>
      </w:r>
      <w:r w:rsidR="006C4F64">
        <w:rPr>
          <w:rFonts w:cstheme="minorHAnsi"/>
        </w:rPr>
        <w:t xml:space="preserve"> </w:t>
      </w:r>
      <w:r w:rsidR="00A535C5">
        <w:rPr>
          <w:rFonts w:cstheme="minorHAnsi"/>
        </w:rPr>
        <w:t xml:space="preserve">turnover of </w:t>
      </w:r>
      <w:r w:rsidR="006C4F64">
        <w:rPr>
          <w:rFonts w:cstheme="minorHAnsi"/>
        </w:rPr>
        <w:t>staff</w:t>
      </w:r>
      <w:r w:rsidRPr="006C4F64">
        <w:rPr>
          <w:rFonts w:cstheme="minorHAnsi"/>
        </w:rPr>
        <w:t xml:space="preserve">. </w:t>
      </w:r>
    </w:p>
    <w:p w14:paraId="3BC34C67" w14:textId="77777777" w:rsidR="00072218" w:rsidRPr="006C4F64" w:rsidRDefault="00072218" w:rsidP="00072218">
      <w:pPr>
        <w:spacing w:line="360" w:lineRule="auto"/>
        <w:rPr>
          <w:rFonts w:cstheme="minorHAnsi"/>
        </w:rPr>
      </w:pPr>
    </w:p>
    <w:p w14:paraId="4E56E64E" w14:textId="269EDDCE" w:rsidR="00072218" w:rsidRPr="006C4F64" w:rsidRDefault="00072218" w:rsidP="00072218">
      <w:pPr>
        <w:spacing w:line="360" w:lineRule="auto"/>
        <w:rPr>
          <w:rFonts w:cstheme="minorHAnsi"/>
        </w:rPr>
      </w:pPr>
      <w:r w:rsidRPr="006C4F64">
        <w:rPr>
          <w:rFonts w:cstheme="minorHAnsi"/>
        </w:rPr>
        <w:lastRenderedPageBreak/>
        <w:t xml:space="preserve">The </w:t>
      </w:r>
      <w:r w:rsidR="006347B1" w:rsidRPr="006C4F64">
        <w:rPr>
          <w:rFonts w:cstheme="minorHAnsi"/>
        </w:rPr>
        <w:t xml:space="preserve">Advisory </w:t>
      </w:r>
      <w:r w:rsidRPr="006C4F64">
        <w:rPr>
          <w:rFonts w:cstheme="minorHAnsi"/>
        </w:rPr>
        <w:t xml:space="preserve">Committee has responded initially by working with TAFE to have a Certificate III course in wastewater management delivered over 2018-19.  While well received, as the </w:t>
      </w:r>
      <w:r w:rsidR="006347B1" w:rsidRPr="006C4F64">
        <w:rPr>
          <w:rFonts w:cstheme="minorHAnsi"/>
        </w:rPr>
        <w:t xml:space="preserve">Advisory </w:t>
      </w:r>
      <w:r w:rsidRPr="006C4F64">
        <w:rPr>
          <w:rFonts w:cstheme="minorHAnsi"/>
        </w:rPr>
        <w:t xml:space="preserve">Committee has previously heard, it is a </w:t>
      </w:r>
      <w:r w:rsidRPr="00A535C5">
        <w:rPr>
          <w:rFonts w:cstheme="minorHAnsi"/>
        </w:rPr>
        <w:t>nationally</w:t>
      </w:r>
      <w:r w:rsidRPr="006C4F64">
        <w:rPr>
          <w:rFonts w:cstheme="minorHAnsi"/>
        </w:rPr>
        <w:t xml:space="preserve"> designed course for</w:t>
      </w:r>
      <w:r w:rsidR="00A535C5">
        <w:rPr>
          <w:rFonts w:cstheme="minorHAnsi"/>
        </w:rPr>
        <w:t xml:space="preserve"> wastewater plant</w:t>
      </w:r>
      <w:r w:rsidRPr="006C4F64">
        <w:rPr>
          <w:rFonts w:cstheme="minorHAnsi"/>
        </w:rPr>
        <w:t xml:space="preserve"> </w:t>
      </w:r>
      <w:r w:rsidRPr="00A535C5">
        <w:rPr>
          <w:rFonts w:cstheme="minorHAnsi"/>
        </w:rPr>
        <w:t>operators</w:t>
      </w:r>
      <w:r w:rsidRPr="006C4F64">
        <w:rPr>
          <w:rFonts w:cstheme="minorHAnsi"/>
        </w:rPr>
        <w:t xml:space="preserve"> and does not provide training on South Australian regulation and compliance requirements.  </w:t>
      </w:r>
    </w:p>
    <w:p w14:paraId="76CE24D6" w14:textId="77777777" w:rsidR="00072218" w:rsidRPr="006C4F64" w:rsidRDefault="00072218" w:rsidP="00072218">
      <w:pPr>
        <w:spacing w:line="360" w:lineRule="auto"/>
        <w:rPr>
          <w:rFonts w:cstheme="minorHAnsi"/>
        </w:rPr>
      </w:pPr>
    </w:p>
    <w:p w14:paraId="5D681229" w14:textId="046003F5" w:rsidR="00072218" w:rsidRPr="006C4F64" w:rsidRDefault="00072218" w:rsidP="00072218">
      <w:pPr>
        <w:spacing w:line="360" w:lineRule="auto"/>
        <w:rPr>
          <w:rFonts w:cstheme="minorHAnsi"/>
          <w:b/>
          <w:bCs/>
        </w:rPr>
      </w:pPr>
      <w:r w:rsidRPr="006C4F64">
        <w:rPr>
          <w:rFonts w:cstheme="minorHAnsi"/>
        </w:rPr>
        <w:t>Legatus</w:t>
      </w:r>
      <w:r w:rsidR="006F2247" w:rsidRPr="006C4F64">
        <w:rPr>
          <w:rFonts w:cstheme="minorHAnsi"/>
        </w:rPr>
        <w:t xml:space="preserve"> and TAFE</w:t>
      </w:r>
      <w:r w:rsidRPr="006C4F64">
        <w:rPr>
          <w:rFonts w:cstheme="minorHAnsi"/>
        </w:rPr>
        <w:t xml:space="preserve"> </w:t>
      </w:r>
      <w:r w:rsidR="00A535C5">
        <w:rPr>
          <w:rFonts w:cstheme="minorHAnsi"/>
        </w:rPr>
        <w:t>and</w:t>
      </w:r>
      <w:r w:rsidRPr="006C4F64">
        <w:rPr>
          <w:rFonts w:cstheme="minorHAnsi"/>
        </w:rPr>
        <w:t xml:space="preserve"> three regulatory agencies</w:t>
      </w:r>
      <w:r w:rsidR="006F2247" w:rsidRPr="006C4F64">
        <w:rPr>
          <w:rFonts w:cstheme="minorHAnsi"/>
        </w:rPr>
        <w:t xml:space="preserve"> (</w:t>
      </w:r>
      <w:r w:rsidRPr="006C4F64">
        <w:rPr>
          <w:rFonts w:cstheme="minorHAnsi"/>
        </w:rPr>
        <w:t>ESCOSA, SA Health and the Office of the Technical Regulator</w:t>
      </w:r>
      <w:r w:rsidR="006F2247" w:rsidRPr="006C4F64">
        <w:rPr>
          <w:rFonts w:cstheme="minorHAnsi"/>
        </w:rPr>
        <w:t xml:space="preserve">) </w:t>
      </w:r>
      <w:r w:rsidR="00A535C5">
        <w:rPr>
          <w:rFonts w:cstheme="minorHAnsi"/>
        </w:rPr>
        <w:t>have</w:t>
      </w:r>
      <w:r w:rsidR="006F2247" w:rsidRPr="006C4F64">
        <w:rPr>
          <w:rFonts w:cstheme="minorHAnsi"/>
        </w:rPr>
        <w:t xml:space="preserve"> discuss</w:t>
      </w:r>
      <w:r w:rsidR="00A535C5">
        <w:rPr>
          <w:rFonts w:cstheme="minorHAnsi"/>
        </w:rPr>
        <w:t>ed</w:t>
      </w:r>
      <w:r w:rsidR="006F2247" w:rsidRPr="006C4F64">
        <w:rPr>
          <w:rFonts w:cstheme="minorHAnsi"/>
        </w:rPr>
        <w:t xml:space="preserve"> a further initiative to develop an on-line, on-demand training course in </w:t>
      </w:r>
      <w:r w:rsidR="00A535C5">
        <w:rPr>
          <w:rFonts w:cstheme="minorHAnsi"/>
        </w:rPr>
        <w:t>CWMS</w:t>
      </w:r>
      <w:r w:rsidR="006F2247" w:rsidRPr="006C4F64">
        <w:rPr>
          <w:rFonts w:cstheme="minorHAnsi"/>
        </w:rPr>
        <w:t xml:space="preserve"> regulatory reporting requirements for delivery in 2020</w:t>
      </w:r>
      <w:r w:rsidRPr="006C4F64">
        <w:rPr>
          <w:rFonts w:cstheme="minorHAnsi"/>
        </w:rPr>
        <w:t>.</w:t>
      </w:r>
      <w:r w:rsidR="006C4F64" w:rsidRPr="006C4F64">
        <w:rPr>
          <w:rFonts w:cstheme="minorHAnsi"/>
        </w:rPr>
        <w:t xml:space="preserve"> This </w:t>
      </w:r>
      <w:r w:rsidR="00A535C5">
        <w:rPr>
          <w:rFonts w:cstheme="minorHAnsi"/>
        </w:rPr>
        <w:t>would</w:t>
      </w:r>
      <w:r w:rsidR="006C4F64" w:rsidRPr="006C4F64">
        <w:rPr>
          <w:rFonts w:cstheme="minorHAnsi"/>
        </w:rPr>
        <w:t xml:space="preserve"> not</w:t>
      </w:r>
      <w:r w:rsidR="00A535C5">
        <w:rPr>
          <w:rFonts w:cstheme="minorHAnsi"/>
        </w:rPr>
        <w:t xml:space="preserve"> be</w:t>
      </w:r>
      <w:r w:rsidR="006C4F64" w:rsidRPr="006C4F64">
        <w:rPr>
          <w:rFonts w:cstheme="minorHAnsi"/>
        </w:rPr>
        <w:t xml:space="preserve"> a Certificate course </w:t>
      </w:r>
      <w:r w:rsidR="006C4F64" w:rsidRPr="00A535C5">
        <w:rPr>
          <w:rFonts w:cstheme="minorHAnsi"/>
          <w:i/>
          <w:iCs/>
        </w:rPr>
        <w:t>per se</w:t>
      </w:r>
      <w:r w:rsidR="00A535C5">
        <w:rPr>
          <w:rFonts w:cstheme="minorHAnsi"/>
        </w:rPr>
        <w:t xml:space="preserve"> but</w:t>
      </w:r>
      <w:r w:rsidR="006C4F64" w:rsidRPr="006C4F64">
        <w:rPr>
          <w:rFonts w:cstheme="minorHAnsi"/>
        </w:rPr>
        <w:t xml:space="preserve"> an Award would be provided on successful completion.  </w:t>
      </w:r>
    </w:p>
    <w:p w14:paraId="5E539DCC" w14:textId="77777777" w:rsidR="00072218" w:rsidRPr="006C4F64" w:rsidRDefault="00072218" w:rsidP="00072218">
      <w:pPr>
        <w:spacing w:line="360" w:lineRule="auto"/>
        <w:rPr>
          <w:rFonts w:cstheme="minorHAnsi"/>
        </w:rPr>
      </w:pPr>
    </w:p>
    <w:p w14:paraId="48D979E5" w14:textId="718F19B2" w:rsidR="00072218" w:rsidRPr="006C4F64" w:rsidRDefault="00072218" w:rsidP="00072218">
      <w:pPr>
        <w:spacing w:line="360" w:lineRule="auto"/>
        <w:rPr>
          <w:rFonts w:cstheme="minorHAnsi"/>
        </w:rPr>
      </w:pPr>
      <w:r w:rsidRPr="006C4F64">
        <w:rPr>
          <w:rFonts w:cstheme="minorHAnsi"/>
        </w:rPr>
        <w:t>TAFE</w:t>
      </w:r>
      <w:r w:rsidR="00A535C5">
        <w:rPr>
          <w:rFonts w:cstheme="minorHAnsi"/>
        </w:rPr>
        <w:t xml:space="preserve"> would</w:t>
      </w:r>
      <w:r w:rsidRPr="006C4F64">
        <w:rPr>
          <w:rFonts w:cstheme="minorHAnsi"/>
        </w:rPr>
        <w:t xml:space="preserve"> host a series of five half hour lectures</w:t>
      </w:r>
      <w:r w:rsidR="006C4F64">
        <w:rPr>
          <w:rFonts w:cstheme="minorHAnsi"/>
        </w:rPr>
        <w:t xml:space="preserve"> covering the</w:t>
      </w:r>
      <w:r w:rsidR="006F2247" w:rsidRPr="006C4F64">
        <w:rPr>
          <w:rFonts w:cstheme="minorHAnsi"/>
        </w:rPr>
        <w:t xml:space="preserve"> principles and</w:t>
      </w:r>
      <w:r w:rsidR="006C4F64">
        <w:rPr>
          <w:rFonts w:cstheme="minorHAnsi"/>
        </w:rPr>
        <w:t xml:space="preserve"> </w:t>
      </w:r>
      <w:r w:rsidR="006F2247" w:rsidRPr="006C4F64">
        <w:rPr>
          <w:rFonts w:cstheme="minorHAnsi"/>
        </w:rPr>
        <w:t>practice</w:t>
      </w:r>
      <w:r w:rsidR="006C4F64">
        <w:rPr>
          <w:rFonts w:cstheme="minorHAnsi"/>
        </w:rPr>
        <w:t xml:space="preserve"> of CWMS regulation</w:t>
      </w:r>
      <w:r w:rsidR="00A535C5">
        <w:rPr>
          <w:rFonts w:cstheme="minorHAnsi"/>
        </w:rPr>
        <w:t xml:space="preserve"> in South Australia</w:t>
      </w:r>
      <w:r w:rsidR="006F2247" w:rsidRPr="006C4F64">
        <w:rPr>
          <w:rFonts w:cstheme="minorHAnsi"/>
        </w:rPr>
        <w:t>.</w:t>
      </w:r>
      <w:r w:rsidRPr="006C4F64">
        <w:rPr>
          <w:rFonts w:cstheme="minorHAnsi"/>
        </w:rPr>
        <w:t xml:space="preserve">  In addition, students will work independently through a hypothetical, arithmetic example designed to illustrate</w:t>
      </w:r>
      <w:r w:rsidR="006C4F64">
        <w:rPr>
          <w:rFonts w:cstheme="minorHAnsi"/>
        </w:rPr>
        <w:t xml:space="preserve"> and</w:t>
      </w:r>
      <w:r w:rsidRPr="006C4F64">
        <w:rPr>
          <w:rFonts w:cstheme="minorHAnsi"/>
        </w:rPr>
        <w:t xml:space="preserve"> highlight the reportable items, regulatory issues and processes that are commonly found to be difficult or problematic.</w:t>
      </w:r>
    </w:p>
    <w:p w14:paraId="021B704B" w14:textId="77777777" w:rsidR="00072218" w:rsidRPr="006C4F64" w:rsidRDefault="00072218" w:rsidP="00072218">
      <w:pPr>
        <w:spacing w:line="360" w:lineRule="auto"/>
        <w:rPr>
          <w:rFonts w:cstheme="minorHAnsi"/>
        </w:rPr>
      </w:pPr>
    </w:p>
    <w:p w14:paraId="0EA718CC" w14:textId="2CBE0614" w:rsidR="00072218" w:rsidRPr="006C4F64" w:rsidRDefault="00072218" w:rsidP="00072218">
      <w:pPr>
        <w:spacing w:line="360" w:lineRule="auto"/>
        <w:rPr>
          <w:rFonts w:cstheme="minorHAnsi"/>
        </w:rPr>
      </w:pPr>
      <w:r w:rsidRPr="006C4F64">
        <w:rPr>
          <w:rFonts w:cstheme="minorHAnsi"/>
        </w:rPr>
        <w:t>The content of the course comes from the detail of the regulations</w:t>
      </w:r>
      <w:r w:rsidR="006C4F64">
        <w:rPr>
          <w:rFonts w:cstheme="minorHAnsi"/>
        </w:rPr>
        <w:t xml:space="preserve"> and </w:t>
      </w:r>
      <w:r w:rsidRPr="006C4F64">
        <w:rPr>
          <w:rFonts w:cstheme="minorHAnsi"/>
        </w:rPr>
        <w:t>must be created in collaboration with the regulators</w:t>
      </w:r>
      <w:r w:rsidR="00A535C5">
        <w:rPr>
          <w:rFonts w:cstheme="minorHAnsi"/>
        </w:rPr>
        <w:t xml:space="preserve"> who</w:t>
      </w:r>
      <w:r w:rsidRPr="006C4F64">
        <w:rPr>
          <w:rFonts w:cstheme="minorHAnsi"/>
        </w:rPr>
        <w:t xml:space="preserve"> have a generally favourable</w:t>
      </w:r>
      <w:r w:rsidR="00A535C5">
        <w:rPr>
          <w:rFonts w:cstheme="minorHAnsi"/>
        </w:rPr>
        <w:t>, initial</w:t>
      </w:r>
      <w:r w:rsidRPr="006C4F64">
        <w:rPr>
          <w:rFonts w:cstheme="minorHAnsi"/>
        </w:rPr>
        <w:t xml:space="preserve"> view</w:t>
      </w:r>
      <w:r w:rsidR="006C4F64">
        <w:rPr>
          <w:rFonts w:cstheme="minorHAnsi"/>
        </w:rPr>
        <w:t>, offering</w:t>
      </w:r>
      <w:r w:rsidRPr="006C4F64">
        <w:rPr>
          <w:rFonts w:cstheme="minorHAnsi"/>
        </w:rPr>
        <w:t xml:space="preserve"> support for a hypothetical, illustrative example and a willingness to assist in developing the content.</w:t>
      </w:r>
    </w:p>
    <w:p w14:paraId="3B6EFCFC" w14:textId="77777777" w:rsidR="00072218" w:rsidRPr="006C4F64" w:rsidRDefault="00072218" w:rsidP="00072218">
      <w:pPr>
        <w:spacing w:line="360" w:lineRule="auto"/>
        <w:rPr>
          <w:rFonts w:cstheme="minorHAnsi"/>
        </w:rPr>
      </w:pPr>
    </w:p>
    <w:p w14:paraId="25B4DDE9" w14:textId="2BE649C8" w:rsidR="00072218" w:rsidRPr="00A535C5" w:rsidRDefault="00072218" w:rsidP="00072218">
      <w:pPr>
        <w:spacing w:line="360" w:lineRule="auto"/>
        <w:rPr>
          <w:rFonts w:cstheme="minorHAnsi"/>
        </w:rPr>
      </w:pPr>
      <w:r w:rsidRPr="006C4F64">
        <w:rPr>
          <w:rFonts w:cstheme="minorHAnsi"/>
        </w:rPr>
        <w:t xml:space="preserve">Some of the discussion with regulators focussed on </w:t>
      </w:r>
      <w:r w:rsidR="006F2247" w:rsidRPr="006C4F64">
        <w:rPr>
          <w:rFonts w:cstheme="minorHAnsi"/>
        </w:rPr>
        <w:t>identifying</w:t>
      </w:r>
      <w:r w:rsidR="00A535C5">
        <w:rPr>
          <w:rFonts w:cstheme="minorHAnsi"/>
        </w:rPr>
        <w:t xml:space="preserve"> the</w:t>
      </w:r>
      <w:r w:rsidRPr="006C4F64">
        <w:rPr>
          <w:rFonts w:cstheme="minorHAnsi"/>
        </w:rPr>
        <w:t xml:space="preserve"> gaps in skills and understanding</w:t>
      </w:r>
      <w:r w:rsidR="006347B1" w:rsidRPr="006C4F64">
        <w:rPr>
          <w:rFonts w:cstheme="minorHAnsi"/>
        </w:rPr>
        <w:t xml:space="preserve">. </w:t>
      </w:r>
      <w:r w:rsidRPr="006C4F64">
        <w:rPr>
          <w:rFonts w:cstheme="minorHAnsi"/>
        </w:rPr>
        <w:t>Legatus</w:t>
      </w:r>
      <w:r w:rsidR="006F2247" w:rsidRPr="006C4F64">
        <w:rPr>
          <w:rFonts w:cstheme="minorHAnsi"/>
        </w:rPr>
        <w:t>, in conjunction with the LGA,</w:t>
      </w:r>
      <w:r w:rsidRPr="006C4F64">
        <w:rPr>
          <w:rFonts w:cstheme="minorHAnsi"/>
        </w:rPr>
        <w:t xml:space="preserve"> will work with officers</w:t>
      </w:r>
      <w:r w:rsidR="006C4F64">
        <w:rPr>
          <w:rFonts w:cstheme="minorHAnsi"/>
        </w:rPr>
        <w:t xml:space="preserve"> in the regulatory agencies and with CWMS </w:t>
      </w:r>
      <w:r w:rsidR="006F2247" w:rsidRPr="006C4F64">
        <w:rPr>
          <w:rFonts w:cstheme="minorHAnsi"/>
        </w:rPr>
        <w:t xml:space="preserve">reporting officers as part of the </w:t>
      </w:r>
      <w:r w:rsidR="006347B1" w:rsidRPr="006C4F64">
        <w:rPr>
          <w:rFonts w:cstheme="minorHAnsi"/>
        </w:rPr>
        <w:t xml:space="preserve">upcoming </w:t>
      </w:r>
      <w:r w:rsidRPr="006C4F64">
        <w:rPr>
          <w:rFonts w:cstheme="minorHAnsi"/>
        </w:rPr>
        <w:t xml:space="preserve">feedback workshops </w:t>
      </w:r>
      <w:r w:rsidR="006347B1" w:rsidRPr="006C4F64">
        <w:rPr>
          <w:rFonts w:cstheme="minorHAnsi"/>
        </w:rPr>
        <w:t>to identify gaps and inform the course content</w:t>
      </w:r>
      <w:r w:rsidRPr="006C4F64">
        <w:rPr>
          <w:rFonts w:cstheme="minorHAnsi"/>
        </w:rPr>
        <w:t>.</w:t>
      </w:r>
      <w:r w:rsidR="00A535C5">
        <w:rPr>
          <w:rFonts w:cstheme="minorHAnsi"/>
        </w:rPr>
        <w:t xml:space="preserve">  </w:t>
      </w:r>
      <w:r w:rsidRPr="006C4F64">
        <w:rPr>
          <w:rFonts w:cstheme="minorHAnsi"/>
        </w:rPr>
        <w:t>Further discussions with the LGA have considered the possibilities that the information might be made available in a manner other than as a user pays course</w:t>
      </w:r>
      <w:r w:rsidR="006347B1" w:rsidRPr="006C4F64">
        <w:rPr>
          <w:rFonts w:cstheme="minorHAnsi"/>
        </w:rPr>
        <w:t xml:space="preserve"> such as the </w:t>
      </w:r>
      <w:r w:rsidRPr="006C4F64">
        <w:rPr>
          <w:rFonts w:eastAsia="Times New Roman" w:cstheme="minorHAnsi"/>
          <w:color w:val="000000"/>
          <w:lang w:eastAsia="en-GB"/>
        </w:rPr>
        <w:t>on-line course</w:t>
      </w:r>
      <w:r w:rsidR="006347B1" w:rsidRPr="006C4F64">
        <w:rPr>
          <w:rFonts w:eastAsia="Times New Roman" w:cstheme="minorHAnsi"/>
          <w:color w:val="000000"/>
          <w:lang w:eastAsia="en-GB"/>
        </w:rPr>
        <w:t xml:space="preserve"> of the Queensland Water Directorate (</w:t>
      </w:r>
      <w:hyperlink r:id="rId10" w:history="1">
        <w:r w:rsidR="006347B1" w:rsidRPr="006C4F64">
          <w:rPr>
            <w:rStyle w:val="Hyperlink"/>
            <w:rFonts w:eastAsia="Times New Roman" w:cstheme="minorHAnsi"/>
            <w:lang w:eastAsia="en-GB"/>
          </w:rPr>
          <w:t>https://www.qldwater.com.au/Skills_Legislative_Training</w:t>
        </w:r>
      </w:hyperlink>
      <w:r w:rsidR="006347B1" w:rsidRPr="006C4F64">
        <w:rPr>
          <w:rFonts w:eastAsia="Times New Roman" w:cstheme="minorHAnsi"/>
          <w:lang w:eastAsia="en-GB"/>
        </w:rPr>
        <w:t>)</w:t>
      </w:r>
      <w:r w:rsidR="00A535C5">
        <w:rPr>
          <w:rFonts w:eastAsia="Times New Roman" w:cstheme="minorHAnsi"/>
          <w:lang w:eastAsia="en-GB"/>
        </w:rPr>
        <w:t>.</w:t>
      </w:r>
    </w:p>
    <w:p w14:paraId="1418C9A0" w14:textId="77777777" w:rsidR="00072218" w:rsidRPr="006C4F64" w:rsidRDefault="00072218" w:rsidP="00072218">
      <w:pPr>
        <w:spacing w:line="360" w:lineRule="auto"/>
        <w:rPr>
          <w:rFonts w:cstheme="minorHAnsi"/>
          <w:b/>
          <w:bCs/>
        </w:rPr>
      </w:pPr>
    </w:p>
    <w:p w14:paraId="0FC0B662" w14:textId="6C755A26" w:rsidR="00923E8F" w:rsidRPr="00036CA4" w:rsidRDefault="00923E8F" w:rsidP="004E0A4C">
      <w:pPr>
        <w:spacing w:line="360" w:lineRule="auto"/>
        <w:rPr>
          <w:rFonts w:asciiTheme="minorHAnsi" w:hAnsiTheme="minorHAnsi" w:cstheme="minorHAnsi"/>
          <w:bCs/>
          <w:i/>
          <w:iCs/>
          <w:lang w:bidi="en-US"/>
        </w:rPr>
      </w:pPr>
      <w:r w:rsidRPr="00036CA4">
        <w:rPr>
          <w:rFonts w:asciiTheme="minorHAnsi" w:hAnsiTheme="minorHAnsi" w:cstheme="minorHAnsi"/>
          <w:bCs/>
          <w:i/>
          <w:iCs/>
          <w:lang w:bidi="en-US"/>
        </w:rPr>
        <w:t xml:space="preserve">It </w:t>
      </w:r>
      <w:r w:rsidRPr="00036CA4">
        <w:rPr>
          <w:rFonts w:asciiTheme="minorHAnsi" w:hAnsiTheme="minorHAnsi" w:cstheme="minorHAnsi"/>
          <w:b/>
          <w:i/>
          <w:iCs/>
          <w:lang w:bidi="en-US"/>
        </w:rPr>
        <w:t>is recommend</w:t>
      </w:r>
      <w:r w:rsidR="006F2247" w:rsidRPr="00036CA4">
        <w:rPr>
          <w:rFonts w:asciiTheme="minorHAnsi" w:hAnsiTheme="minorHAnsi" w:cstheme="minorHAnsi"/>
          <w:b/>
          <w:i/>
          <w:iCs/>
          <w:lang w:bidi="en-US"/>
        </w:rPr>
        <w:t>ed</w:t>
      </w:r>
      <w:r w:rsidRPr="00036CA4">
        <w:rPr>
          <w:rFonts w:asciiTheme="minorHAnsi" w:hAnsiTheme="minorHAnsi" w:cstheme="minorHAnsi"/>
          <w:bCs/>
          <w:i/>
          <w:iCs/>
          <w:lang w:bidi="en-US"/>
        </w:rPr>
        <w:t xml:space="preserve"> that the</w:t>
      </w:r>
      <w:r w:rsidR="006F2247" w:rsidRPr="00036CA4">
        <w:rPr>
          <w:rFonts w:asciiTheme="minorHAnsi" w:hAnsiTheme="minorHAnsi" w:cstheme="minorHAnsi"/>
          <w:bCs/>
          <w:i/>
          <w:iCs/>
          <w:lang w:bidi="en-US"/>
        </w:rPr>
        <w:t xml:space="preserve"> Advisory Committee indicates its support to</w:t>
      </w:r>
      <w:r w:rsidRPr="00036CA4">
        <w:rPr>
          <w:rFonts w:asciiTheme="minorHAnsi" w:hAnsiTheme="minorHAnsi" w:cstheme="minorHAnsi"/>
          <w:bCs/>
          <w:i/>
          <w:iCs/>
          <w:lang w:bidi="en-US"/>
        </w:rPr>
        <w:t xml:space="preserve"> </w:t>
      </w:r>
      <w:r w:rsidR="006F2247" w:rsidRPr="00036CA4">
        <w:rPr>
          <w:rFonts w:asciiTheme="minorHAnsi" w:hAnsiTheme="minorHAnsi" w:cstheme="minorHAnsi"/>
          <w:bCs/>
          <w:i/>
          <w:iCs/>
          <w:lang w:bidi="en-US"/>
        </w:rPr>
        <w:t xml:space="preserve">the </w:t>
      </w:r>
      <w:r w:rsidRPr="00036CA4">
        <w:rPr>
          <w:rFonts w:asciiTheme="minorHAnsi" w:hAnsiTheme="minorHAnsi" w:cstheme="minorHAnsi"/>
          <w:bCs/>
          <w:i/>
          <w:iCs/>
          <w:lang w:bidi="en-US"/>
        </w:rPr>
        <w:t xml:space="preserve">Legatus Group </w:t>
      </w:r>
      <w:r w:rsidR="006F2247" w:rsidRPr="00036CA4">
        <w:rPr>
          <w:rFonts w:asciiTheme="minorHAnsi" w:hAnsiTheme="minorHAnsi" w:cstheme="minorHAnsi"/>
          <w:bCs/>
          <w:i/>
          <w:iCs/>
          <w:lang w:bidi="en-US"/>
        </w:rPr>
        <w:t xml:space="preserve">for </w:t>
      </w:r>
      <w:r w:rsidR="00A535C5" w:rsidRPr="00036CA4">
        <w:rPr>
          <w:rFonts w:asciiTheme="minorHAnsi" w:hAnsiTheme="minorHAnsi" w:cstheme="minorHAnsi"/>
          <w:bCs/>
          <w:i/>
          <w:iCs/>
          <w:lang w:bidi="en-US"/>
        </w:rPr>
        <w:t xml:space="preserve">Legatus to </w:t>
      </w:r>
      <w:r w:rsidR="006F2247" w:rsidRPr="00036CA4">
        <w:rPr>
          <w:rFonts w:asciiTheme="minorHAnsi" w:hAnsiTheme="minorHAnsi" w:cstheme="minorHAnsi"/>
          <w:bCs/>
          <w:i/>
          <w:iCs/>
          <w:lang w:bidi="en-US"/>
        </w:rPr>
        <w:t>work with TAFE and the regulatory agencies to</w:t>
      </w:r>
      <w:r w:rsidRPr="00036CA4">
        <w:rPr>
          <w:rFonts w:asciiTheme="minorHAnsi" w:hAnsiTheme="minorHAnsi" w:cstheme="minorHAnsi"/>
          <w:bCs/>
          <w:i/>
          <w:iCs/>
          <w:lang w:bidi="en-US"/>
        </w:rPr>
        <w:t xml:space="preserve"> define the process and cost</w:t>
      </w:r>
      <w:r w:rsidR="006F2247" w:rsidRPr="00036CA4">
        <w:rPr>
          <w:rFonts w:asciiTheme="minorHAnsi" w:hAnsiTheme="minorHAnsi" w:cstheme="minorHAnsi"/>
          <w:bCs/>
          <w:i/>
          <w:iCs/>
          <w:lang w:bidi="en-US"/>
        </w:rPr>
        <w:t xml:space="preserve"> to deliver the course</w:t>
      </w:r>
      <w:r w:rsidRPr="00036CA4">
        <w:rPr>
          <w:rFonts w:asciiTheme="minorHAnsi" w:hAnsiTheme="minorHAnsi" w:cstheme="minorHAnsi"/>
          <w:bCs/>
          <w:i/>
          <w:iCs/>
          <w:lang w:bidi="en-US"/>
        </w:rPr>
        <w:t>.</w:t>
      </w:r>
    </w:p>
    <w:p w14:paraId="2165AFA4" w14:textId="77777777" w:rsidR="00923E8F" w:rsidRPr="006C4F64" w:rsidRDefault="00923E8F" w:rsidP="00793AC7">
      <w:pPr>
        <w:spacing w:line="360" w:lineRule="auto"/>
        <w:ind w:left="720"/>
        <w:rPr>
          <w:rFonts w:asciiTheme="minorHAnsi" w:hAnsiTheme="minorHAnsi" w:cstheme="minorHAnsi"/>
          <w:bCs/>
          <w:lang w:bidi="en-US"/>
        </w:rPr>
      </w:pPr>
    </w:p>
    <w:p w14:paraId="4A7854E3" w14:textId="62D3CEDF" w:rsidR="003F2EB7" w:rsidRPr="006C4F64" w:rsidRDefault="00D371D5" w:rsidP="00793AC7">
      <w:pPr>
        <w:pStyle w:val="ListParagraph"/>
        <w:numPr>
          <w:ilvl w:val="0"/>
          <w:numId w:val="1"/>
        </w:numPr>
        <w:spacing w:line="360" w:lineRule="auto"/>
        <w:rPr>
          <w:rFonts w:asciiTheme="minorHAnsi" w:hAnsiTheme="minorHAnsi" w:cstheme="minorHAnsi"/>
          <w:b/>
          <w:bCs/>
          <w:lang w:bidi="en-US"/>
        </w:rPr>
      </w:pPr>
      <w:r w:rsidRPr="006C4F64">
        <w:rPr>
          <w:rFonts w:asciiTheme="minorHAnsi" w:hAnsiTheme="minorHAnsi" w:cstheme="minorHAnsi"/>
          <w:b/>
          <w:bCs/>
        </w:rPr>
        <w:t xml:space="preserve">An </w:t>
      </w:r>
      <w:r w:rsidR="003F2EB7" w:rsidRPr="006C4F64">
        <w:rPr>
          <w:rFonts w:asciiTheme="minorHAnsi" w:hAnsiTheme="minorHAnsi" w:cstheme="minorHAnsi"/>
          <w:b/>
          <w:bCs/>
        </w:rPr>
        <w:t xml:space="preserve">ESCOSA </w:t>
      </w:r>
      <w:r w:rsidRPr="006C4F64">
        <w:rPr>
          <w:rFonts w:asciiTheme="minorHAnsi" w:hAnsiTheme="minorHAnsi" w:cstheme="minorHAnsi"/>
          <w:b/>
          <w:bCs/>
        </w:rPr>
        <w:t xml:space="preserve">proposal to </w:t>
      </w:r>
      <w:r w:rsidR="003F2EB7" w:rsidRPr="006C4F64">
        <w:rPr>
          <w:rFonts w:asciiTheme="minorHAnsi" w:hAnsiTheme="minorHAnsi" w:cstheme="minorHAnsi"/>
          <w:b/>
          <w:bCs/>
        </w:rPr>
        <w:t>trial</w:t>
      </w:r>
      <w:r w:rsidRPr="006C4F64">
        <w:rPr>
          <w:rFonts w:asciiTheme="minorHAnsi" w:hAnsiTheme="minorHAnsi" w:cstheme="minorHAnsi"/>
          <w:b/>
          <w:bCs/>
        </w:rPr>
        <w:t xml:space="preserve"> </w:t>
      </w:r>
      <w:r w:rsidR="000103CB" w:rsidRPr="006C4F64">
        <w:rPr>
          <w:rFonts w:asciiTheme="minorHAnsi" w:hAnsiTheme="minorHAnsi" w:cstheme="minorHAnsi"/>
          <w:b/>
          <w:bCs/>
        </w:rPr>
        <w:t>Ethical Business Regulation</w:t>
      </w:r>
    </w:p>
    <w:p w14:paraId="70312D6D" w14:textId="77777777" w:rsidR="004E0A4C" w:rsidRPr="006C4F64" w:rsidRDefault="004E0A4C" w:rsidP="004E0A4C">
      <w:pPr>
        <w:spacing w:line="360" w:lineRule="auto"/>
        <w:rPr>
          <w:rFonts w:cstheme="minorHAnsi"/>
        </w:rPr>
      </w:pPr>
    </w:p>
    <w:p w14:paraId="29A8A5CF" w14:textId="77777777" w:rsidR="004E0A4C" w:rsidRPr="006C4F64" w:rsidRDefault="004E0A4C" w:rsidP="004E0A4C">
      <w:pPr>
        <w:spacing w:line="360" w:lineRule="auto"/>
        <w:rPr>
          <w:rFonts w:cstheme="minorHAnsi"/>
        </w:rPr>
      </w:pPr>
      <w:r w:rsidRPr="006C4F64">
        <w:rPr>
          <w:rFonts w:cstheme="minorHAnsi"/>
        </w:rPr>
        <w:t>At the Legatus CWMS conference in August 2019, ESCOSA outlined a new approach to compliance reporting, based on the idea that reporting from trusted organisations can be simpler and therefore less costly.</w:t>
      </w:r>
    </w:p>
    <w:p w14:paraId="45EDCFBD" w14:textId="77777777" w:rsidR="004E0A4C" w:rsidRPr="006C4F64" w:rsidRDefault="004E0A4C" w:rsidP="004E0A4C">
      <w:pPr>
        <w:spacing w:line="360" w:lineRule="auto"/>
        <w:rPr>
          <w:rFonts w:cstheme="minorHAnsi"/>
        </w:rPr>
      </w:pPr>
    </w:p>
    <w:p w14:paraId="4F4761D2" w14:textId="77777777" w:rsidR="004E0A4C" w:rsidRPr="006C4F64" w:rsidRDefault="004E0A4C" w:rsidP="004E0A4C">
      <w:pPr>
        <w:spacing w:line="360" w:lineRule="auto"/>
        <w:rPr>
          <w:rFonts w:eastAsia="Times New Roman" w:cstheme="minorHAnsi"/>
          <w:color w:val="000000"/>
          <w:lang w:eastAsia="en-GB"/>
        </w:rPr>
      </w:pPr>
      <w:r w:rsidRPr="006C4F64">
        <w:rPr>
          <w:rFonts w:eastAsia="Times New Roman" w:cstheme="minorHAnsi"/>
          <w:color w:val="000000"/>
          <w:lang w:eastAsia="en-GB"/>
        </w:rPr>
        <w:t>The concept is known as Ethical Business Regulation (EBR)</w:t>
      </w:r>
      <w:r w:rsidRPr="006C4F64">
        <w:rPr>
          <w:rStyle w:val="FootnoteReference"/>
          <w:rFonts w:eastAsia="Times New Roman" w:cstheme="minorHAnsi"/>
          <w:color w:val="000000"/>
          <w:lang w:eastAsia="en-GB"/>
        </w:rPr>
        <w:footnoteReference w:id="1"/>
      </w:r>
      <w:r w:rsidRPr="006C4F64">
        <w:rPr>
          <w:rFonts w:eastAsia="Times New Roman" w:cstheme="minorHAnsi"/>
          <w:color w:val="000000"/>
          <w:lang w:eastAsia="en-GB"/>
        </w:rPr>
        <w:t xml:space="preserve"> and it originated in the United Kingdom where it is central to the current regulatory review</w:t>
      </w:r>
      <w:r w:rsidRPr="006C4F64">
        <w:rPr>
          <w:rStyle w:val="FootnoteReference"/>
          <w:rFonts w:eastAsia="Times New Roman" w:cstheme="minorHAnsi"/>
          <w:color w:val="000000"/>
          <w:lang w:eastAsia="en-GB"/>
        </w:rPr>
        <w:footnoteReference w:id="2"/>
      </w:r>
      <w:r w:rsidRPr="006C4F64">
        <w:rPr>
          <w:rFonts w:eastAsia="Times New Roman" w:cstheme="minorHAnsi"/>
          <w:color w:val="000000"/>
          <w:lang w:eastAsia="en-GB"/>
        </w:rPr>
        <w:t xml:space="preserve"> but it has not yet been trialled in Australia.  It is described as a new paradigm in compliance and enforcement in which an effective relationship is established between the entity and its regulator, resulting in better outcomes for both.</w:t>
      </w:r>
    </w:p>
    <w:p w14:paraId="00809F2B" w14:textId="77777777" w:rsidR="004E0A4C" w:rsidRPr="006C4F64" w:rsidRDefault="004E0A4C" w:rsidP="004E0A4C">
      <w:pPr>
        <w:spacing w:line="360" w:lineRule="auto"/>
        <w:rPr>
          <w:rFonts w:eastAsia="Times New Roman" w:cstheme="minorHAnsi"/>
          <w:color w:val="000000"/>
          <w:lang w:eastAsia="en-GB"/>
        </w:rPr>
      </w:pPr>
      <w:r w:rsidRPr="006C4F64">
        <w:rPr>
          <w:rFonts w:eastAsia="Times New Roman" w:cstheme="minorHAnsi"/>
          <w:color w:val="000000"/>
          <w:lang w:eastAsia="en-GB"/>
        </w:rPr>
        <w:t xml:space="preserve"> </w:t>
      </w:r>
    </w:p>
    <w:p w14:paraId="6166DAFC" w14:textId="0F707996" w:rsidR="004E0A4C" w:rsidRPr="006C4F64" w:rsidRDefault="004E0A4C" w:rsidP="004E0A4C">
      <w:pPr>
        <w:spacing w:line="360" w:lineRule="auto"/>
        <w:rPr>
          <w:rFonts w:eastAsia="Times New Roman" w:cstheme="minorHAnsi"/>
          <w:color w:val="000000"/>
          <w:lang w:eastAsia="en-GB"/>
        </w:rPr>
      </w:pPr>
      <w:r w:rsidRPr="006C4F64">
        <w:rPr>
          <w:rFonts w:eastAsia="Times New Roman" w:cstheme="minorHAnsi"/>
          <w:color w:val="000000"/>
          <w:lang w:eastAsia="en-GB"/>
        </w:rPr>
        <w:t>Compliance costs can be cut because the regulators establish good reason to trust the regulated, meaning less need for close attention and detailed reporting.  Regulatory self-assurance replaces routine, frequent and universal reporting.</w:t>
      </w:r>
    </w:p>
    <w:p w14:paraId="41EBCF63" w14:textId="77777777" w:rsidR="004E0A4C" w:rsidRPr="006C4F64" w:rsidRDefault="004E0A4C" w:rsidP="004E0A4C">
      <w:pPr>
        <w:spacing w:line="360" w:lineRule="auto"/>
        <w:rPr>
          <w:rFonts w:eastAsia="Times New Roman" w:cstheme="minorHAnsi"/>
          <w:color w:val="000000"/>
          <w:lang w:eastAsia="en-GB"/>
        </w:rPr>
      </w:pPr>
    </w:p>
    <w:p w14:paraId="1BE7B59A" w14:textId="4C2F97B5" w:rsidR="004E0A4C" w:rsidRPr="006C4F64" w:rsidRDefault="004E0A4C" w:rsidP="004E0A4C">
      <w:pPr>
        <w:spacing w:line="360" w:lineRule="auto"/>
        <w:rPr>
          <w:rFonts w:eastAsia="Times New Roman" w:cstheme="minorHAnsi"/>
          <w:color w:val="000000"/>
          <w:lang w:eastAsia="en-GB"/>
        </w:rPr>
      </w:pPr>
      <w:r w:rsidRPr="006C4F64">
        <w:rPr>
          <w:rFonts w:eastAsia="Times New Roman" w:cstheme="minorHAnsi"/>
          <w:color w:val="000000"/>
          <w:lang w:eastAsia="en-GB"/>
        </w:rPr>
        <w:t>To establish this model requires a stepped process of verification-trust-verification-trust.  At each iteration, trust is enhanced and the complications and cost of verification are reduced.</w:t>
      </w:r>
      <w:r w:rsidR="00036CA4">
        <w:rPr>
          <w:rFonts w:eastAsia="Times New Roman" w:cstheme="minorHAnsi"/>
          <w:color w:val="000000"/>
          <w:lang w:eastAsia="en-GB"/>
        </w:rPr>
        <w:t xml:space="preserve">  </w:t>
      </w:r>
      <w:r w:rsidRPr="006C4F64">
        <w:rPr>
          <w:rFonts w:eastAsia="Times New Roman" w:cstheme="minorHAnsi"/>
          <w:color w:val="000000"/>
          <w:lang w:eastAsia="en-GB"/>
        </w:rPr>
        <w:t>At this stage ESCOSA has indicated it would be prepared to work with the Advisory Committee to scope a means of trialling EBR.  The prospect is enhanced by the fact that Legatus Councils have a good record of compliance and therefore have taken a first step in the reciprocal process.  ESCOSA’s presentation at the conference can be seen as a second step.</w:t>
      </w:r>
    </w:p>
    <w:p w14:paraId="232E9529" w14:textId="77777777" w:rsidR="004E0A4C" w:rsidRPr="006C4F64" w:rsidRDefault="004E0A4C" w:rsidP="004E0A4C">
      <w:pPr>
        <w:spacing w:line="360" w:lineRule="auto"/>
        <w:rPr>
          <w:rFonts w:eastAsia="Times New Roman" w:cstheme="minorHAnsi"/>
          <w:color w:val="000000"/>
          <w:lang w:eastAsia="en-GB"/>
        </w:rPr>
      </w:pPr>
    </w:p>
    <w:p w14:paraId="4D1D12EC" w14:textId="11D69666" w:rsidR="004E0A4C" w:rsidRPr="006C4F64" w:rsidRDefault="004E0A4C" w:rsidP="004E0A4C">
      <w:pPr>
        <w:spacing w:line="360" w:lineRule="auto"/>
        <w:rPr>
          <w:rFonts w:eastAsia="Times New Roman" w:cstheme="minorHAnsi"/>
          <w:color w:val="000000"/>
          <w:lang w:eastAsia="en-GB"/>
        </w:rPr>
      </w:pPr>
      <w:r w:rsidRPr="006C4F64">
        <w:rPr>
          <w:rFonts w:eastAsia="Times New Roman" w:cstheme="minorHAnsi"/>
          <w:color w:val="000000"/>
          <w:lang w:eastAsia="en-GB"/>
        </w:rPr>
        <w:t xml:space="preserve">The details of the trial are yet to be determined but the essence is that some of the information on wastewater pricing and costings reported annually to ESCOSA need not be provided each year.  A truncated reporting can focus on significant change and many routine matters will be assumed to have remained compliant.  Of course, all the information required for detailed reporting must be kept at hand.  </w:t>
      </w:r>
    </w:p>
    <w:p w14:paraId="54F5BED3" w14:textId="77777777" w:rsidR="004E0A4C" w:rsidRPr="006C4F64" w:rsidRDefault="004E0A4C" w:rsidP="004E0A4C">
      <w:pPr>
        <w:spacing w:line="360" w:lineRule="auto"/>
        <w:rPr>
          <w:rFonts w:eastAsia="Times New Roman" w:cstheme="minorHAnsi"/>
          <w:color w:val="000000"/>
          <w:lang w:eastAsia="en-GB"/>
        </w:rPr>
      </w:pPr>
    </w:p>
    <w:p w14:paraId="72A688D4" w14:textId="14C7B320" w:rsidR="004E0A4C" w:rsidRPr="00036CA4" w:rsidRDefault="004E0A4C" w:rsidP="004E0A4C">
      <w:pPr>
        <w:spacing w:line="360" w:lineRule="auto"/>
        <w:rPr>
          <w:rFonts w:eastAsia="Times New Roman" w:cstheme="minorHAnsi"/>
          <w:i/>
          <w:iCs/>
          <w:color w:val="000000"/>
          <w:lang w:eastAsia="en-GB"/>
        </w:rPr>
      </w:pPr>
      <w:r w:rsidRPr="00036CA4">
        <w:rPr>
          <w:rFonts w:eastAsia="Times New Roman" w:cstheme="minorHAnsi"/>
          <w:i/>
          <w:iCs/>
          <w:color w:val="000000"/>
          <w:lang w:eastAsia="en-GB"/>
        </w:rPr>
        <w:t xml:space="preserve">It is </w:t>
      </w:r>
      <w:r w:rsidRPr="00036CA4">
        <w:rPr>
          <w:rFonts w:eastAsia="Times New Roman" w:cstheme="minorHAnsi"/>
          <w:b/>
          <w:bCs/>
          <w:i/>
          <w:iCs/>
          <w:color w:val="000000"/>
          <w:lang w:eastAsia="en-GB"/>
        </w:rPr>
        <w:t>recommended</w:t>
      </w:r>
      <w:r w:rsidRPr="00036CA4">
        <w:rPr>
          <w:rFonts w:eastAsia="Times New Roman" w:cstheme="minorHAnsi"/>
          <w:i/>
          <w:iCs/>
          <w:color w:val="000000"/>
          <w:lang w:eastAsia="en-GB"/>
        </w:rPr>
        <w:t xml:space="preserve"> that the Advisory Committee </w:t>
      </w:r>
      <w:r w:rsidR="00A535C5" w:rsidRPr="00036CA4">
        <w:rPr>
          <w:rFonts w:eastAsia="Times New Roman" w:cstheme="minorHAnsi"/>
          <w:i/>
          <w:iCs/>
          <w:color w:val="000000"/>
          <w:lang w:eastAsia="en-GB"/>
        </w:rPr>
        <w:t>indicates</w:t>
      </w:r>
      <w:r w:rsidRPr="00036CA4">
        <w:rPr>
          <w:rFonts w:eastAsia="Times New Roman" w:cstheme="minorHAnsi"/>
          <w:i/>
          <w:iCs/>
          <w:color w:val="000000"/>
          <w:lang w:eastAsia="en-GB"/>
        </w:rPr>
        <w:t xml:space="preserve"> to the Legatus Group </w:t>
      </w:r>
      <w:r w:rsidR="00A535C5" w:rsidRPr="00036CA4">
        <w:rPr>
          <w:rFonts w:eastAsia="Times New Roman" w:cstheme="minorHAnsi"/>
          <w:i/>
          <w:iCs/>
          <w:color w:val="000000"/>
          <w:lang w:eastAsia="en-GB"/>
        </w:rPr>
        <w:t>its support for further</w:t>
      </w:r>
      <w:r w:rsidRPr="00036CA4">
        <w:rPr>
          <w:rFonts w:eastAsia="Times New Roman" w:cstheme="minorHAnsi"/>
          <w:i/>
          <w:iCs/>
          <w:color w:val="000000"/>
          <w:lang w:eastAsia="en-GB"/>
        </w:rPr>
        <w:t xml:space="preserve"> work with ESCOSA to develop and promote a trial of EBR for CWMS among Legatus Councils in 2020. </w:t>
      </w:r>
    </w:p>
    <w:p w14:paraId="79DC2798" w14:textId="77777777" w:rsidR="004E0A4C" w:rsidRPr="006C4F64" w:rsidRDefault="004E0A4C" w:rsidP="004E0A4C">
      <w:pPr>
        <w:spacing w:line="360" w:lineRule="auto"/>
        <w:rPr>
          <w:rFonts w:cstheme="minorHAnsi"/>
        </w:rPr>
      </w:pPr>
    </w:p>
    <w:p w14:paraId="54052490" w14:textId="77777777" w:rsidR="004E0A4C" w:rsidRPr="006C4F64" w:rsidRDefault="004E0A4C" w:rsidP="00D371D5">
      <w:pPr>
        <w:spacing w:line="360" w:lineRule="auto"/>
        <w:ind w:left="720"/>
        <w:rPr>
          <w:rFonts w:asciiTheme="minorHAnsi" w:hAnsiTheme="minorHAnsi" w:cstheme="minorHAnsi"/>
          <w:bCs/>
          <w:lang w:bidi="en-US"/>
        </w:rPr>
      </w:pPr>
    </w:p>
    <w:p w14:paraId="29AC4D88" w14:textId="77777777" w:rsidR="006C6C02" w:rsidRPr="006C4F64" w:rsidRDefault="004922F5" w:rsidP="006C6C02">
      <w:pPr>
        <w:pStyle w:val="ListParagraph"/>
        <w:numPr>
          <w:ilvl w:val="0"/>
          <w:numId w:val="1"/>
        </w:numPr>
        <w:spacing w:line="360" w:lineRule="auto"/>
        <w:rPr>
          <w:rFonts w:asciiTheme="minorHAnsi" w:hAnsiTheme="minorHAnsi" w:cstheme="minorHAnsi"/>
          <w:b/>
          <w:bCs/>
          <w:lang w:bidi="en-US"/>
        </w:rPr>
      </w:pPr>
      <w:r w:rsidRPr="006C4F64">
        <w:rPr>
          <w:rFonts w:asciiTheme="minorHAnsi" w:hAnsiTheme="minorHAnsi" w:cstheme="minorHAnsi"/>
          <w:b/>
          <w:bCs/>
        </w:rPr>
        <w:t xml:space="preserve">Office of the Technical Regulator Infrastructure </w:t>
      </w:r>
    </w:p>
    <w:p w14:paraId="538368DF" w14:textId="30BC087C" w:rsidR="005809C0" w:rsidRPr="006C4F64" w:rsidRDefault="006C6C02" w:rsidP="004E0A4C">
      <w:pPr>
        <w:spacing w:line="360" w:lineRule="auto"/>
        <w:rPr>
          <w:rFonts w:cs="Calibri"/>
        </w:rPr>
      </w:pPr>
      <w:r w:rsidRPr="006C4F64">
        <w:rPr>
          <w:rFonts w:cs="Calibri"/>
        </w:rPr>
        <w:t xml:space="preserve">The OTR has issued a new, draft Infrastructure Standard under which it intends to adopt “the Water Services Association of Australia (WSAA) codes as amended from time to time as the principle minimum Standard for water and sewerage infrastructure.”  Councils are not members </w:t>
      </w:r>
      <w:r w:rsidRPr="006C4F64">
        <w:rPr>
          <w:rFonts w:cs="Calibri"/>
        </w:rPr>
        <w:lastRenderedPageBreak/>
        <w:t>of WSAA</w:t>
      </w:r>
      <w:r w:rsidR="00923E8F" w:rsidRPr="006C4F64">
        <w:rPr>
          <w:rFonts w:cs="Calibri"/>
        </w:rPr>
        <w:t xml:space="preserve">.  That means they </w:t>
      </w:r>
      <w:r w:rsidRPr="006C4F64">
        <w:rPr>
          <w:rFonts w:cs="Calibri"/>
        </w:rPr>
        <w:t>cannot view the codes without payment</w:t>
      </w:r>
      <w:r w:rsidR="00923E8F" w:rsidRPr="006C4F64">
        <w:rPr>
          <w:rFonts w:cs="Calibri"/>
        </w:rPr>
        <w:t>.</w:t>
      </w:r>
      <w:r w:rsidRPr="006C4F64">
        <w:rPr>
          <w:rFonts w:cs="Calibri"/>
        </w:rPr>
        <w:t xml:space="preserve"> </w:t>
      </w:r>
      <w:r w:rsidR="00452CB3" w:rsidRPr="006C4F64">
        <w:rPr>
          <w:rFonts w:cs="Calibri"/>
        </w:rPr>
        <w:t>T</w:t>
      </w:r>
      <w:r w:rsidR="004E0A4C" w:rsidRPr="006C4F64">
        <w:rPr>
          <w:rFonts w:cs="Calibri"/>
        </w:rPr>
        <w:t xml:space="preserve">he </w:t>
      </w:r>
      <w:r w:rsidR="005809C0" w:rsidRPr="006C4F64">
        <w:rPr>
          <w:rFonts w:cs="Calibri"/>
        </w:rPr>
        <w:t xml:space="preserve">Draft Infrastructure Standard can be </w:t>
      </w:r>
      <w:r w:rsidR="004E0A4C" w:rsidRPr="006C4F64">
        <w:rPr>
          <w:rFonts w:cs="Calibri"/>
        </w:rPr>
        <w:t xml:space="preserve">found </w:t>
      </w:r>
      <w:r w:rsidR="00452CB3" w:rsidRPr="006C4F64">
        <w:rPr>
          <w:rFonts w:cs="Calibri"/>
        </w:rPr>
        <w:t xml:space="preserve">below as </w:t>
      </w:r>
      <w:r w:rsidR="00452CB3" w:rsidRPr="006C4F64">
        <w:rPr>
          <w:rFonts w:cs="Calibri"/>
          <w:b/>
          <w:bCs/>
        </w:rPr>
        <w:t>Appendix 2</w:t>
      </w:r>
      <w:r w:rsidR="00452CB3" w:rsidRPr="006C4F64">
        <w:rPr>
          <w:rFonts w:cs="Calibri"/>
        </w:rPr>
        <w:t>.</w:t>
      </w:r>
    </w:p>
    <w:p w14:paraId="38BE1139" w14:textId="6581A93F" w:rsidR="004922F5" w:rsidRPr="006C4F64" w:rsidRDefault="004922F5" w:rsidP="004E0A4C">
      <w:pPr>
        <w:spacing w:line="360" w:lineRule="auto"/>
        <w:rPr>
          <w:rFonts w:asciiTheme="minorHAnsi" w:hAnsiTheme="minorHAnsi" w:cstheme="minorHAnsi"/>
          <w:b/>
          <w:bCs/>
          <w:lang w:bidi="en-US"/>
        </w:rPr>
      </w:pPr>
    </w:p>
    <w:p w14:paraId="3A46D172" w14:textId="5216C525" w:rsidR="00923E8F" w:rsidRPr="00036CA4" w:rsidRDefault="00923E8F" w:rsidP="004E0A4C">
      <w:pPr>
        <w:spacing w:line="360" w:lineRule="auto"/>
        <w:rPr>
          <w:rFonts w:asciiTheme="minorHAnsi" w:hAnsiTheme="minorHAnsi" w:cstheme="minorHAnsi"/>
          <w:i/>
          <w:iCs/>
          <w:lang w:bidi="en-US"/>
        </w:rPr>
      </w:pPr>
      <w:r w:rsidRPr="00036CA4">
        <w:rPr>
          <w:rFonts w:asciiTheme="minorHAnsi" w:hAnsiTheme="minorHAnsi" w:cstheme="minorHAnsi"/>
          <w:i/>
          <w:iCs/>
          <w:lang w:bidi="en-US"/>
        </w:rPr>
        <w:t xml:space="preserve">It is </w:t>
      </w:r>
      <w:r w:rsidRPr="00036CA4">
        <w:rPr>
          <w:rFonts w:asciiTheme="minorHAnsi" w:hAnsiTheme="minorHAnsi" w:cstheme="minorHAnsi"/>
          <w:b/>
          <w:bCs/>
          <w:i/>
          <w:iCs/>
          <w:lang w:bidi="en-US"/>
        </w:rPr>
        <w:t>recommended</w:t>
      </w:r>
      <w:r w:rsidRPr="00036CA4">
        <w:rPr>
          <w:rFonts w:asciiTheme="minorHAnsi" w:hAnsiTheme="minorHAnsi" w:cstheme="minorHAnsi"/>
          <w:i/>
          <w:iCs/>
          <w:lang w:bidi="en-US"/>
        </w:rPr>
        <w:t xml:space="preserve"> </w:t>
      </w:r>
      <w:r w:rsidR="004E0A4C" w:rsidRPr="00036CA4">
        <w:rPr>
          <w:rFonts w:asciiTheme="minorHAnsi" w:hAnsiTheme="minorHAnsi" w:cstheme="minorHAnsi"/>
          <w:i/>
          <w:iCs/>
          <w:lang w:bidi="en-US"/>
        </w:rPr>
        <w:t>that the</w:t>
      </w:r>
      <w:r w:rsidR="004E3EEA">
        <w:rPr>
          <w:rFonts w:asciiTheme="minorHAnsi" w:hAnsiTheme="minorHAnsi" w:cstheme="minorHAnsi"/>
          <w:i/>
          <w:iCs/>
          <w:lang w:bidi="en-US"/>
        </w:rPr>
        <w:t xml:space="preserve"> </w:t>
      </w:r>
      <w:r w:rsidR="004E3EEA" w:rsidRPr="004E3EEA">
        <w:rPr>
          <w:rFonts w:asciiTheme="minorHAnsi" w:hAnsiTheme="minorHAnsi" w:cstheme="minorHAnsi"/>
          <w:i/>
          <w:iCs/>
          <w:highlight w:val="yellow"/>
          <w:lang w:bidi="en-US"/>
        </w:rPr>
        <w:t>Advisory</w:t>
      </w:r>
      <w:r w:rsidR="004E0A4C" w:rsidRPr="00036CA4">
        <w:rPr>
          <w:rFonts w:asciiTheme="minorHAnsi" w:hAnsiTheme="minorHAnsi" w:cstheme="minorHAnsi"/>
          <w:i/>
          <w:iCs/>
          <w:lang w:bidi="en-US"/>
        </w:rPr>
        <w:t xml:space="preserve"> Committee seek clarification from the OTR regarding access to the codes and any cost implications to Councils if the d</w:t>
      </w:r>
      <w:r w:rsidR="006347B1" w:rsidRPr="00036CA4">
        <w:rPr>
          <w:rFonts w:asciiTheme="minorHAnsi" w:hAnsiTheme="minorHAnsi" w:cstheme="minorHAnsi"/>
          <w:i/>
          <w:iCs/>
          <w:lang w:bidi="en-US"/>
        </w:rPr>
        <w:t>raf</w:t>
      </w:r>
      <w:r w:rsidR="004E0A4C" w:rsidRPr="00036CA4">
        <w:rPr>
          <w:rFonts w:asciiTheme="minorHAnsi" w:hAnsiTheme="minorHAnsi" w:cstheme="minorHAnsi"/>
          <w:i/>
          <w:iCs/>
          <w:lang w:bidi="en-US"/>
        </w:rPr>
        <w:t>t Infrastructure Standard were adopted.</w:t>
      </w:r>
    </w:p>
    <w:p w14:paraId="5985E65B" w14:textId="00E30BBA" w:rsidR="004E0A4C" w:rsidRPr="006C4F64" w:rsidRDefault="004E0A4C" w:rsidP="004922F5">
      <w:pPr>
        <w:spacing w:line="360" w:lineRule="auto"/>
        <w:ind w:left="720"/>
        <w:rPr>
          <w:rFonts w:asciiTheme="minorHAnsi" w:hAnsiTheme="minorHAnsi" w:cstheme="minorHAnsi"/>
          <w:lang w:bidi="en-US"/>
        </w:rPr>
      </w:pPr>
    </w:p>
    <w:p w14:paraId="214589CE" w14:textId="77777777" w:rsidR="004E0A4C" w:rsidRPr="006C4F64" w:rsidRDefault="004E0A4C" w:rsidP="004922F5">
      <w:pPr>
        <w:spacing w:line="360" w:lineRule="auto"/>
        <w:ind w:left="720"/>
        <w:rPr>
          <w:rFonts w:asciiTheme="minorHAnsi" w:hAnsiTheme="minorHAnsi" w:cstheme="minorHAnsi"/>
          <w:lang w:bidi="en-US"/>
        </w:rPr>
      </w:pPr>
    </w:p>
    <w:p w14:paraId="6AEB90D9" w14:textId="77777777" w:rsidR="00741149" w:rsidRPr="006C4F64" w:rsidRDefault="00741149" w:rsidP="00D371D5">
      <w:pPr>
        <w:pStyle w:val="ListParagraph"/>
        <w:numPr>
          <w:ilvl w:val="0"/>
          <w:numId w:val="1"/>
        </w:numPr>
        <w:spacing w:line="360" w:lineRule="auto"/>
        <w:rPr>
          <w:rFonts w:asciiTheme="minorHAnsi" w:hAnsiTheme="minorHAnsi" w:cstheme="minorHAnsi"/>
          <w:b/>
          <w:bCs/>
          <w:lang w:bidi="en-US"/>
        </w:rPr>
      </w:pPr>
      <w:r w:rsidRPr="006C4F64">
        <w:rPr>
          <w:rFonts w:asciiTheme="minorHAnsi" w:hAnsiTheme="minorHAnsi" w:cstheme="minorHAnsi"/>
          <w:b/>
          <w:bCs/>
        </w:rPr>
        <w:t>A proposal to trial and demonstrate remote sensing technology</w:t>
      </w:r>
    </w:p>
    <w:p w14:paraId="582EEABD" w14:textId="66A05E6E" w:rsidR="006347B1" w:rsidRPr="006C4F64" w:rsidRDefault="006347B1" w:rsidP="006347B1">
      <w:pPr>
        <w:spacing w:line="360" w:lineRule="auto"/>
      </w:pPr>
      <w:r w:rsidRPr="006C4F64">
        <w:t xml:space="preserve">Under the MoU between the Legatus Group and the University of South Australia, Professor Chris Chow of the School of Natural and Built Environments has proposed a project to trial and demonstrate remote sensing technology as a tool to promote improved asset management.  </w:t>
      </w:r>
    </w:p>
    <w:p w14:paraId="1AF02EA7" w14:textId="77777777" w:rsidR="006347B1" w:rsidRPr="006C4F64" w:rsidRDefault="006347B1" w:rsidP="006347B1">
      <w:pPr>
        <w:spacing w:line="360" w:lineRule="auto"/>
      </w:pPr>
    </w:p>
    <w:p w14:paraId="5BA98751" w14:textId="1E3B5BE1" w:rsidR="006347B1" w:rsidRPr="006C4F64" w:rsidRDefault="006347B1" w:rsidP="006347B1">
      <w:pPr>
        <w:spacing w:line="360" w:lineRule="auto"/>
      </w:pPr>
      <w:r w:rsidRPr="006C4F64">
        <w:t>The proposal involves installing sensors on selected equipment and using wireless technology to monitor performance.  The software involved allows many devices to be monitored at once.  Monitoring can be done in real-time to provide for immediate notifications of alarms and</w:t>
      </w:r>
      <w:r w:rsidR="00036CA4">
        <w:t xml:space="preserve"> </w:t>
      </w:r>
      <w:r w:rsidRPr="006C4F64">
        <w:t>emergencies but most data will be analysed periodically (eg daily) to detect significant change in machine characteristics.  Regular reports can then be generated and information about assets will also be progressively accumulated to better understand their performance.</w:t>
      </w:r>
      <w:r w:rsidR="00036CA4">
        <w:t xml:space="preserve">  T</w:t>
      </w:r>
      <w:r w:rsidRPr="006C4F64">
        <w:t>he data</w:t>
      </w:r>
      <w:r w:rsidR="00036CA4">
        <w:t xml:space="preserve"> would</w:t>
      </w:r>
      <w:r w:rsidRPr="006C4F64">
        <w:t xml:space="preserve"> be sent to a central monitoring station at the Mawson Lakes campus where it will be analysed as part of a student project.  The underlying technology w</w:t>
      </w:r>
      <w:r w:rsidR="00036CA4">
        <w:t>ould</w:t>
      </w:r>
      <w:r w:rsidRPr="006C4F64">
        <w:t xml:space="preserve"> be made available by IPACS Australia.  The direct cost to participating Councils is expected to be minimal.</w:t>
      </w:r>
    </w:p>
    <w:p w14:paraId="11B9130F" w14:textId="77777777" w:rsidR="006347B1" w:rsidRPr="006C4F64" w:rsidRDefault="006347B1" w:rsidP="006347B1">
      <w:pPr>
        <w:spacing w:line="360" w:lineRule="auto"/>
      </w:pPr>
    </w:p>
    <w:p w14:paraId="041CD7C2" w14:textId="647F2216" w:rsidR="006347B1" w:rsidRPr="00036CA4" w:rsidRDefault="006347B1" w:rsidP="006347B1">
      <w:pPr>
        <w:spacing w:line="360" w:lineRule="auto"/>
        <w:rPr>
          <w:i/>
          <w:iCs/>
        </w:rPr>
      </w:pPr>
      <w:r w:rsidRPr="004E3EEA">
        <w:rPr>
          <w:i/>
          <w:iCs/>
          <w:highlight w:val="yellow"/>
        </w:rPr>
        <w:t xml:space="preserve">It is </w:t>
      </w:r>
      <w:r w:rsidRPr="004E3EEA">
        <w:rPr>
          <w:b/>
          <w:bCs/>
          <w:i/>
          <w:iCs/>
          <w:highlight w:val="yellow"/>
        </w:rPr>
        <w:t>recommended</w:t>
      </w:r>
      <w:r w:rsidRPr="004E3EEA">
        <w:rPr>
          <w:i/>
          <w:iCs/>
          <w:highlight w:val="yellow"/>
        </w:rPr>
        <w:t xml:space="preserve"> that </w:t>
      </w:r>
      <w:r w:rsidR="004E3EEA" w:rsidRPr="004E3EEA">
        <w:rPr>
          <w:i/>
          <w:iCs/>
          <w:highlight w:val="yellow"/>
        </w:rPr>
        <w:t>the</w:t>
      </w:r>
      <w:r w:rsidR="004E3EEA" w:rsidRPr="004E3EEA">
        <w:rPr>
          <w:rFonts w:asciiTheme="minorHAnsi" w:hAnsiTheme="minorHAnsi" w:cstheme="minorHAnsi"/>
          <w:i/>
          <w:iCs/>
          <w:highlight w:val="yellow"/>
        </w:rPr>
        <w:t xml:space="preserve"> </w:t>
      </w:r>
      <w:r w:rsidR="004E3EEA" w:rsidRPr="004E3EEA">
        <w:rPr>
          <w:i/>
          <w:iCs/>
          <w:highlight w:val="yellow"/>
        </w:rPr>
        <w:t>Advisory Committee supports the Legatus Group to continue discussions with</w:t>
      </w:r>
      <w:r w:rsidRPr="004E3EEA">
        <w:rPr>
          <w:i/>
          <w:iCs/>
          <w:highlight w:val="yellow"/>
        </w:rPr>
        <w:t xml:space="preserve"> Professor Chow </w:t>
      </w:r>
      <w:r w:rsidR="004E3EEA" w:rsidRPr="004E3EEA">
        <w:rPr>
          <w:i/>
          <w:iCs/>
          <w:highlight w:val="yellow"/>
        </w:rPr>
        <w:t>on opportunities for</w:t>
      </w:r>
      <w:r w:rsidRPr="004E3EEA">
        <w:rPr>
          <w:i/>
          <w:iCs/>
          <w:highlight w:val="yellow"/>
        </w:rPr>
        <w:t xml:space="preserve"> </w:t>
      </w:r>
      <w:r w:rsidR="004E3EEA" w:rsidRPr="004E3EEA">
        <w:rPr>
          <w:i/>
          <w:iCs/>
          <w:highlight w:val="yellow"/>
        </w:rPr>
        <w:t>possible</w:t>
      </w:r>
      <w:r w:rsidRPr="004E3EEA">
        <w:rPr>
          <w:i/>
          <w:iCs/>
          <w:highlight w:val="yellow"/>
        </w:rPr>
        <w:t xml:space="preserve"> trial and demonstration of IPACS remote sensing technology.</w:t>
      </w:r>
      <w:r w:rsidRPr="00036CA4">
        <w:rPr>
          <w:i/>
          <w:iCs/>
        </w:rPr>
        <w:t xml:space="preserve"> </w:t>
      </w:r>
    </w:p>
    <w:p w14:paraId="7D0F1AA1" w14:textId="77777777" w:rsidR="00B92825" w:rsidRPr="006C4F64" w:rsidRDefault="00B92825" w:rsidP="00741149">
      <w:pPr>
        <w:pStyle w:val="ListParagraph"/>
        <w:spacing w:line="360" w:lineRule="auto"/>
        <w:rPr>
          <w:rFonts w:asciiTheme="minorHAnsi" w:hAnsiTheme="minorHAnsi" w:cstheme="minorHAnsi"/>
          <w:bCs/>
          <w:lang w:bidi="en-US"/>
        </w:rPr>
      </w:pPr>
    </w:p>
    <w:p w14:paraId="64B669CE" w14:textId="0C755DCC" w:rsidR="00D371D5" w:rsidRPr="006C4F64" w:rsidRDefault="003F2EB7" w:rsidP="00D371D5">
      <w:pPr>
        <w:pStyle w:val="ListParagraph"/>
        <w:numPr>
          <w:ilvl w:val="0"/>
          <w:numId w:val="1"/>
        </w:numPr>
        <w:spacing w:line="360" w:lineRule="auto"/>
        <w:rPr>
          <w:rFonts w:asciiTheme="minorHAnsi" w:hAnsiTheme="minorHAnsi" w:cstheme="minorHAnsi"/>
          <w:bCs/>
          <w:lang w:bidi="en-US"/>
        </w:rPr>
      </w:pPr>
      <w:r w:rsidRPr="006C4F64">
        <w:rPr>
          <w:rFonts w:asciiTheme="minorHAnsi" w:hAnsiTheme="minorHAnsi" w:cstheme="minorHAnsi"/>
          <w:b/>
          <w:lang w:bidi="en-US"/>
        </w:rPr>
        <w:t>Any other business</w:t>
      </w:r>
    </w:p>
    <w:p w14:paraId="0D9C1D6D" w14:textId="77777777" w:rsidR="00C570B6" w:rsidRPr="006C4F64" w:rsidRDefault="00C570B6" w:rsidP="00C570B6">
      <w:pPr>
        <w:spacing w:line="360" w:lineRule="auto"/>
        <w:ind w:left="720"/>
        <w:rPr>
          <w:rFonts w:asciiTheme="minorHAnsi" w:hAnsiTheme="minorHAnsi" w:cstheme="minorHAnsi"/>
          <w:bCs/>
          <w:lang w:bidi="en-US"/>
        </w:rPr>
      </w:pPr>
    </w:p>
    <w:p w14:paraId="16F8918C" w14:textId="02FAA5C7" w:rsidR="003F2EB7" w:rsidRPr="006C4F64" w:rsidRDefault="003F2EB7" w:rsidP="00D371D5">
      <w:pPr>
        <w:pStyle w:val="ListParagraph"/>
        <w:numPr>
          <w:ilvl w:val="0"/>
          <w:numId w:val="1"/>
        </w:numPr>
        <w:spacing w:line="360" w:lineRule="auto"/>
        <w:rPr>
          <w:rFonts w:asciiTheme="minorHAnsi" w:hAnsiTheme="minorHAnsi" w:cstheme="minorHAnsi"/>
          <w:bCs/>
          <w:lang w:bidi="en-US"/>
        </w:rPr>
      </w:pPr>
      <w:r w:rsidRPr="006C4F64">
        <w:rPr>
          <w:rFonts w:asciiTheme="minorHAnsi" w:hAnsiTheme="minorHAnsi" w:cstheme="minorHAnsi"/>
          <w:b/>
          <w:lang w:bidi="en-US"/>
        </w:rPr>
        <w:t xml:space="preserve">Close </w:t>
      </w:r>
    </w:p>
    <w:p w14:paraId="58F45E2E" w14:textId="77777777" w:rsidR="003F2EB7" w:rsidRPr="006C4F64" w:rsidRDefault="003F2EB7" w:rsidP="00793AC7">
      <w:pPr>
        <w:spacing w:line="360" w:lineRule="auto"/>
        <w:rPr>
          <w:rFonts w:asciiTheme="minorHAnsi" w:hAnsiTheme="minorHAnsi" w:cstheme="minorHAnsi"/>
          <w:bCs/>
          <w:lang w:bidi="en-US"/>
        </w:rPr>
      </w:pPr>
    </w:p>
    <w:p w14:paraId="31CDFF00" w14:textId="77777777" w:rsidR="003F2EB7" w:rsidRPr="006C4F64" w:rsidRDefault="003F2EB7" w:rsidP="00793AC7">
      <w:pPr>
        <w:spacing w:line="360" w:lineRule="auto"/>
        <w:rPr>
          <w:rFonts w:asciiTheme="minorHAnsi" w:hAnsiTheme="minorHAnsi" w:cstheme="minorHAnsi"/>
        </w:rPr>
      </w:pPr>
    </w:p>
    <w:p w14:paraId="46BC793E" w14:textId="4FA222D7" w:rsidR="00A83EC3" w:rsidRPr="006C4F64" w:rsidRDefault="00A83EC3">
      <w:pPr>
        <w:rPr>
          <w:rFonts w:asciiTheme="minorHAnsi" w:hAnsiTheme="minorHAnsi" w:cstheme="minorHAnsi"/>
        </w:rPr>
      </w:pPr>
      <w:r w:rsidRPr="006C4F64">
        <w:rPr>
          <w:rFonts w:asciiTheme="minorHAnsi" w:hAnsiTheme="minorHAnsi" w:cstheme="minorHAnsi"/>
        </w:rPr>
        <w:br w:type="page"/>
      </w:r>
    </w:p>
    <w:p w14:paraId="41F2FACB" w14:textId="39091ACE" w:rsidR="00A83EC3" w:rsidRPr="006C4F64" w:rsidRDefault="00A83EC3" w:rsidP="00A83EC3">
      <w:pPr>
        <w:jc w:val="center"/>
        <w:rPr>
          <w:rFonts w:asciiTheme="minorHAnsi" w:hAnsiTheme="minorHAnsi" w:cstheme="minorHAnsi"/>
          <w:b/>
        </w:rPr>
      </w:pPr>
      <w:r w:rsidRPr="006C4F64">
        <w:rPr>
          <w:rFonts w:asciiTheme="minorHAnsi" w:hAnsiTheme="minorHAnsi" w:cstheme="minorHAnsi"/>
          <w:b/>
        </w:rPr>
        <w:lastRenderedPageBreak/>
        <w:t>Appendix 1: Proposal to extend the Joint CWMS Services Arrangements by Legatus Group to LGA CWMS Management Committee</w:t>
      </w:r>
    </w:p>
    <w:p w14:paraId="218C1D22" w14:textId="77777777" w:rsidR="00A83EC3" w:rsidRPr="006C4F64" w:rsidRDefault="00A83EC3" w:rsidP="00A83EC3">
      <w:pPr>
        <w:jc w:val="center"/>
        <w:rPr>
          <w:rFonts w:asciiTheme="minorHAnsi" w:hAnsiTheme="minorHAnsi" w:cstheme="minorHAnsi"/>
          <w:b/>
        </w:rPr>
      </w:pPr>
    </w:p>
    <w:p w14:paraId="17465D99" w14:textId="77777777" w:rsidR="00A83EC3" w:rsidRPr="006C4F64" w:rsidRDefault="00A83EC3" w:rsidP="00A83EC3">
      <w:pPr>
        <w:rPr>
          <w:rFonts w:asciiTheme="minorHAnsi" w:hAnsiTheme="minorHAnsi" w:cstheme="minorHAnsi"/>
          <w:b/>
        </w:rPr>
      </w:pPr>
    </w:p>
    <w:p w14:paraId="01816B8F" w14:textId="77777777" w:rsidR="00A83EC3" w:rsidRPr="006C4F64" w:rsidRDefault="00A83EC3" w:rsidP="00A83EC3">
      <w:pPr>
        <w:jc w:val="both"/>
        <w:rPr>
          <w:rFonts w:asciiTheme="minorHAnsi" w:hAnsiTheme="minorHAnsi" w:cstheme="minorHAnsi"/>
        </w:rPr>
      </w:pPr>
      <w:r w:rsidRPr="006C4F64">
        <w:rPr>
          <w:rFonts w:asciiTheme="minorHAnsi" w:hAnsiTheme="minorHAnsi" w:cstheme="minorHAnsi"/>
          <w:b/>
          <w:bCs/>
        </w:rPr>
        <w:t>Background</w:t>
      </w:r>
    </w:p>
    <w:p w14:paraId="5D081088" w14:textId="77777777" w:rsidR="00A83EC3" w:rsidRPr="006C4F64" w:rsidRDefault="00A83EC3" w:rsidP="00A83EC3">
      <w:pPr>
        <w:jc w:val="both"/>
        <w:rPr>
          <w:rFonts w:asciiTheme="minorHAnsi" w:hAnsiTheme="minorHAnsi" w:cstheme="minorHAnsi"/>
        </w:rPr>
      </w:pPr>
    </w:p>
    <w:p w14:paraId="196F2B78" w14:textId="77777777" w:rsidR="00A83EC3" w:rsidRPr="006C4F64" w:rsidRDefault="00A83EC3" w:rsidP="00A83EC3">
      <w:pPr>
        <w:jc w:val="both"/>
        <w:rPr>
          <w:rFonts w:asciiTheme="minorHAnsi" w:hAnsiTheme="minorHAnsi" w:cstheme="minorHAnsi"/>
        </w:rPr>
      </w:pPr>
      <w:r w:rsidRPr="006C4F64">
        <w:rPr>
          <w:rFonts w:asciiTheme="minorHAnsi" w:hAnsiTheme="minorHAnsi" w:cstheme="minorHAnsi"/>
        </w:rPr>
        <w:t xml:space="preserve">Since March 2018, the Legatus Group (Central Local Government Region of SA) has been operating under CWMS Service Arrangements on behalf of the LGA CWMS Management Committee.  Under the Arrangements, the Legatus Group undertook to deliver programs and projects associated with CWMS services as described below.  The Arrangements continue until 11 March 2020.  </w:t>
      </w:r>
    </w:p>
    <w:p w14:paraId="58E35569" w14:textId="77777777" w:rsidR="00A83EC3" w:rsidRPr="006C4F64" w:rsidRDefault="00A83EC3" w:rsidP="00A83EC3">
      <w:pPr>
        <w:jc w:val="both"/>
        <w:rPr>
          <w:rFonts w:asciiTheme="minorHAnsi" w:hAnsiTheme="minorHAnsi" w:cstheme="minorHAnsi"/>
        </w:rPr>
      </w:pPr>
    </w:p>
    <w:p w14:paraId="24508D8A" w14:textId="77777777" w:rsidR="00A83EC3" w:rsidRPr="006C4F64" w:rsidRDefault="00A83EC3" w:rsidP="00A83EC3">
      <w:pPr>
        <w:jc w:val="both"/>
        <w:rPr>
          <w:rFonts w:asciiTheme="minorHAnsi" w:hAnsiTheme="minorHAnsi" w:cstheme="minorHAnsi"/>
        </w:rPr>
      </w:pPr>
      <w:r w:rsidRPr="006C4F64">
        <w:rPr>
          <w:rFonts w:asciiTheme="minorHAnsi" w:hAnsiTheme="minorHAnsi" w:cstheme="minorHAnsi"/>
        </w:rPr>
        <w:t>This paper updates the Management Committee on Legatus CWMS activities and proposes an extension of the Arrangements from 11 March 2020 to end June 2021.</w:t>
      </w:r>
    </w:p>
    <w:p w14:paraId="1BA885D3" w14:textId="77777777" w:rsidR="00A83EC3" w:rsidRPr="006C4F64" w:rsidRDefault="00A83EC3" w:rsidP="00A83EC3">
      <w:pPr>
        <w:jc w:val="both"/>
        <w:rPr>
          <w:rFonts w:asciiTheme="minorHAnsi" w:hAnsiTheme="minorHAnsi" w:cstheme="minorHAnsi"/>
        </w:rPr>
      </w:pPr>
    </w:p>
    <w:p w14:paraId="2B22BB8E" w14:textId="77777777" w:rsidR="00A83EC3" w:rsidRPr="006C4F64" w:rsidRDefault="00A83EC3" w:rsidP="00A83EC3">
      <w:pPr>
        <w:jc w:val="both"/>
        <w:rPr>
          <w:rFonts w:asciiTheme="minorHAnsi" w:hAnsiTheme="minorHAnsi" w:cstheme="minorHAnsi"/>
          <w:b/>
        </w:rPr>
      </w:pPr>
      <w:r w:rsidRPr="006C4F64">
        <w:rPr>
          <w:rFonts w:asciiTheme="minorHAnsi" w:hAnsiTheme="minorHAnsi" w:cstheme="minorHAnsi"/>
          <w:b/>
        </w:rPr>
        <w:t>Project updates</w:t>
      </w:r>
    </w:p>
    <w:p w14:paraId="6E82107F" w14:textId="77777777" w:rsidR="00A83EC3" w:rsidRPr="006C4F64" w:rsidRDefault="00A83EC3" w:rsidP="00A83EC3">
      <w:pPr>
        <w:jc w:val="both"/>
        <w:rPr>
          <w:rFonts w:asciiTheme="minorHAnsi" w:hAnsiTheme="minorHAnsi" w:cstheme="minorHAnsi"/>
        </w:rPr>
      </w:pPr>
    </w:p>
    <w:p w14:paraId="0EBFD725" w14:textId="77777777" w:rsidR="00A83EC3" w:rsidRPr="006C4F64" w:rsidRDefault="00A83EC3" w:rsidP="00A83EC3">
      <w:pPr>
        <w:jc w:val="both"/>
        <w:rPr>
          <w:rFonts w:asciiTheme="minorHAnsi" w:hAnsiTheme="minorHAnsi" w:cstheme="minorHAnsi"/>
        </w:rPr>
      </w:pPr>
      <w:r w:rsidRPr="006C4F64">
        <w:rPr>
          <w:rFonts w:asciiTheme="minorHAnsi" w:hAnsiTheme="minorHAnsi" w:cstheme="minorHAnsi"/>
        </w:rPr>
        <w:t>The table below, which is in the same form as the original Service Arrangements, outlines and provides updates on each project.  The section which follows builds on these updates to make proposals to extend each program, as well as making some new project proposals.</w:t>
      </w:r>
    </w:p>
    <w:p w14:paraId="70AD556B" w14:textId="77777777" w:rsidR="00A83EC3" w:rsidRPr="006C4F64" w:rsidRDefault="00A83EC3" w:rsidP="00A83EC3">
      <w:pPr>
        <w:jc w:val="both"/>
        <w:rPr>
          <w:rFonts w:asciiTheme="minorHAnsi" w:hAnsiTheme="minorHAnsi" w:cstheme="minorHAnsi"/>
        </w:rPr>
      </w:pPr>
    </w:p>
    <w:tbl>
      <w:tblPr>
        <w:tblStyle w:val="TableGrid"/>
        <w:tblW w:w="0" w:type="auto"/>
        <w:tblLook w:val="04A0" w:firstRow="1" w:lastRow="0" w:firstColumn="1" w:lastColumn="0" w:noHBand="0" w:noVBand="1"/>
      </w:tblPr>
      <w:tblGrid>
        <w:gridCol w:w="4191"/>
        <w:gridCol w:w="4496"/>
      </w:tblGrid>
      <w:tr w:rsidR="00A83EC3" w:rsidRPr="006C4F64" w14:paraId="52A388C4" w14:textId="77777777" w:rsidTr="007F4335">
        <w:tc>
          <w:tcPr>
            <w:tcW w:w="5239" w:type="dxa"/>
          </w:tcPr>
          <w:p w14:paraId="44B2E5CD" w14:textId="77777777" w:rsidR="00A83EC3" w:rsidRPr="006C4F64" w:rsidRDefault="00A83EC3" w:rsidP="007F4335">
            <w:pPr>
              <w:jc w:val="both"/>
              <w:rPr>
                <w:rFonts w:asciiTheme="minorHAnsi" w:hAnsiTheme="minorHAnsi" w:cstheme="minorHAnsi"/>
                <w:b/>
                <w:bCs/>
              </w:rPr>
            </w:pPr>
            <w:r w:rsidRPr="006C4F64">
              <w:rPr>
                <w:rFonts w:asciiTheme="minorHAnsi" w:hAnsiTheme="minorHAnsi" w:cstheme="minorHAnsi"/>
                <w:b/>
                <w:bCs/>
              </w:rPr>
              <w:t>Project</w:t>
            </w:r>
          </w:p>
        </w:tc>
        <w:tc>
          <w:tcPr>
            <w:tcW w:w="5239" w:type="dxa"/>
          </w:tcPr>
          <w:p w14:paraId="1E26D419" w14:textId="77777777" w:rsidR="00A83EC3" w:rsidRPr="006C4F64" w:rsidRDefault="00A83EC3" w:rsidP="007F4335">
            <w:pPr>
              <w:jc w:val="both"/>
              <w:rPr>
                <w:rFonts w:asciiTheme="minorHAnsi" w:hAnsiTheme="minorHAnsi" w:cstheme="minorHAnsi"/>
                <w:b/>
                <w:bCs/>
              </w:rPr>
            </w:pPr>
            <w:r w:rsidRPr="006C4F64">
              <w:rPr>
                <w:rFonts w:asciiTheme="minorHAnsi" w:hAnsiTheme="minorHAnsi" w:cstheme="minorHAnsi"/>
                <w:b/>
                <w:bCs/>
              </w:rPr>
              <w:t xml:space="preserve">Update </w:t>
            </w:r>
          </w:p>
        </w:tc>
      </w:tr>
      <w:tr w:rsidR="00A83EC3" w:rsidRPr="006C4F64" w14:paraId="354B65AB" w14:textId="77777777" w:rsidTr="007F4335">
        <w:tc>
          <w:tcPr>
            <w:tcW w:w="5239" w:type="dxa"/>
          </w:tcPr>
          <w:p w14:paraId="66C29E31"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 xml:space="preserve">6 x sub-regional workshops per year </w:t>
            </w:r>
          </w:p>
        </w:tc>
        <w:tc>
          <w:tcPr>
            <w:tcW w:w="5239" w:type="dxa"/>
          </w:tcPr>
          <w:p w14:paraId="533BB995"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Workshops have been held as part of the regular meetings of Legatus CWMS Advisory Committee.  In addition, in conjunction with the LGA CWMS Manager, Legatus will conduct 3 further workshops for operational staff and compliance officers during November 2019.  The outcomes of these workshops will be relayed to the regulatory agencies.</w:t>
            </w:r>
          </w:p>
        </w:tc>
      </w:tr>
      <w:tr w:rsidR="00A83EC3" w:rsidRPr="006C4F64" w14:paraId="6F1B31BE" w14:textId="77777777" w:rsidTr="007F4335">
        <w:tc>
          <w:tcPr>
            <w:tcW w:w="5239" w:type="dxa"/>
          </w:tcPr>
          <w:p w14:paraId="2888111D"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Annual conference</w:t>
            </w:r>
          </w:p>
        </w:tc>
        <w:tc>
          <w:tcPr>
            <w:tcW w:w="5239" w:type="dxa"/>
          </w:tcPr>
          <w:p w14:paraId="07053DA9"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 xml:space="preserve">Two annual conferences have been held.  They have both been well attended and have generated opportunities for networking and communication among Legatus Councils and with research universities, TAFE and regulatory agencies. </w:t>
            </w:r>
          </w:p>
        </w:tc>
      </w:tr>
      <w:tr w:rsidR="00A83EC3" w:rsidRPr="006C4F64" w14:paraId="7A5F17E5" w14:textId="77777777" w:rsidTr="007F4335">
        <w:tc>
          <w:tcPr>
            <w:tcW w:w="5239" w:type="dxa"/>
          </w:tcPr>
          <w:p w14:paraId="01502C74"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 xml:space="preserve">Regional list of all systems  </w:t>
            </w:r>
          </w:p>
        </w:tc>
        <w:tc>
          <w:tcPr>
            <w:tcW w:w="5239" w:type="dxa"/>
          </w:tcPr>
          <w:p w14:paraId="7BC61D4D"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A complete list has been compiled for Legatus Councils including details of each system, a spreadsheet of technical data and summary presentation.</w:t>
            </w:r>
          </w:p>
        </w:tc>
      </w:tr>
      <w:tr w:rsidR="00A83EC3" w:rsidRPr="006C4F64" w14:paraId="1141134A" w14:textId="77777777" w:rsidTr="007F4335">
        <w:tc>
          <w:tcPr>
            <w:tcW w:w="5239" w:type="dxa"/>
          </w:tcPr>
          <w:p w14:paraId="2D249A6A"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Common compliance templates</w:t>
            </w:r>
          </w:p>
        </w:tc>
        <w:tc>
          <w:tcPr>
            <w:tcW w:w="5239" w:type="dxa"/>
          </w:tcPr>
          <w:p w14:paraId="70448F79"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To reduce the time and costs associated with compliance and reporting Legatus has engaged with both regulators and operational staff.  This has resulted in advanced plans for trialling a new, streamlined model of compliance and for sharing resources across some councils.</w:t>
            </w:r>
          </w:p>
        </w:tc>
      </w:tr>
      <w:tr w:rsidR="00A83EC3" w:rsidRPr="006C4F64" w14:paraId="6BDEAC1C" w14:textId="77777777" w:rsidTr="007F4335">
        <w:tc>
          <w:tcPr>
            <w:tcW w:w="5239" w:type="dxa"/>
          </w:tcPr>
          <w:p w14:paraId="088DBAF4"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Business case for a Regional Processing Plant</w:t>
            </w:r>
          </w:p>
        </w:tc>
        <w:tc>
          <w:tcPr>
            <w:tcW w:w="5239" w:type="dxa"/>
          </w:tcPr>
          <w:p w14:paraId="4049D78A"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 xml:space="preserve">The investigation has been completed.  It shows that the volume of sludge and septage in the Legatus region are too little for a plant to be viable.  However, it suggests that a larger composting plant might be viable by accessing other sources of biosolids. </w:t>
            </w:r>
          </w:p>
        </w:tc>
      </w:tr>
      <w:tr w:rsidR="00A83EC3" w:rsidRPr="006C4F64" w14:paraId="72722B33" w14:textId="77777777" w:rsidTr="007F4335">
        <w:tc>
          <w:tcPr>
            <w:tcW w:w="5239" w:type="dxa"/>
          </w:tcPr>
          <w:p w14:paraId="587DAC5A"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Resource Sharing</w:t>
            </w:r>
          </w:p>
        </w:tc>
        <w:tc>
          <w:tcPr>
            <w:tcW w:w="5239" w:type="dxa"/>
          </w:tcPr>
          <w:p w14:paraId="6849CE09"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 xml:space="preserve">Legatus has worked closely with TAFE to review the Certificate 3 for wastewater operators and will now develop an on-line training course in CWMS regulatory compliance to be delivered in </w:t>
            </w:r>
            <w:r w:rsidRPr="006C4F64">
              <w:rPr>
                <w:rFonts w:asciiTheme="minorHAnsi" w:hAnsiTheme="minorHAnsi" w:cstheme="minorHAnsi"/>
              </w:rPr>
              <w:lastRenderedPageBreak/>
              <w:t>2020-21.  In addition, in partnership with UniSA, Legatus will oversee a demonstration/research project in remote sensing as part of a larger move to work on asset management.</w:t>
            </w:r>
          </w:p>
        </w:tc>
      </w:tr>
    </w:tbl>
    <w:p w14:paraId="20F02E01" w14:textId="77777777" w:rsidR="00A83EC3" w:rsidRPr="006C4F64" w:rsidRDefault="00A83EC3" w:rsidP="00A83EC3">
      <w:pPr>
        <w:jc w:val="both"/>
        <w:rPr>
          <w:rFonts w:asciiTheme="minorHAnsi" w:hAnsiTheme="minorHAnsi" w:cstheme="minorHAnsi"/>
        </w:rPr>
      </w:pPr>
    </w:p>
    <w:p w14:paraId="39219430" w14:textId="77777777" w:rsidR="00A83EC3" w:rsidRPr="006C4F64" w:rsidRDefault="00A83EC3" w:rsidP="00A83EC3">
      <w:pPr>
        <w:jc w:val="both"/>
        <w:rPr>
          <w:rFonts w:asciiTheme="minorHAnsi" w:hAnsiTheme="minorHAnsi" w:cstheme="minorHAnsi"/>
        </w:rPr>
      </w:pPr>
    </w:p>
    <w:p w14:paraId="583EB546" w14:textId="77777777" w:rsidR="00A83EC3" w:rsidRPr="006C4F64" w:rsidRDefault="00A83EC3" w:rsidP="00A83EC3">
      <w:pPr>
        <w:jc w:val="both"/>
        <w:rPr>
          <w:rFonts w:asciiTheme="minorHAnsi" w:hAnsiTheme="minorHAnsi" w:cstheme="minorHAnsi"/>
          <w:b/>
        </w:rPr>
      </w:pPr>
      <w:r w:rsidRPr="006C4F64">
        <w:rPr>
          <w:rFonts w:asciiTheme="minorHAnsi" w:hAnsiTheme="minorHAnsi" w:cstheme="minorHAnsi"/>
          <w:b/>
        </w:rPr>
        <w:t xml:space="preserve">Extension proposals for the Service Arrangements </w:t>
      </w:r>
    </w:p>
    <w:p w14:paraId="78BD3556" w14:textId="77777777" w:rsidR="00A83EC3" w:rsidRPr="006C4F64" w:rsidRDefault="00A83EC3" w:rsidP="00A83EC3">
      <w:pPr>
        <w:jc w:val="both"/>
        <w:rPr>
          <w:rFonts w:asciiTheme="minorHAnsi" w:hAnsiTheme="minorHAnsi" w:cstheme="minorHAnsi"/>
        </w:rPr>
      </w:pPr>
    </w:p>
    <w:p w14:paraId="0DB42E90" w14:textId="77777777" w:rsidR="00A83EC3" w:rsidRPr="006C4F64" w:rsidRDefault="00A83EC3" w:rsidP="00A83EC3">
      <w:pPr>
        <w:contextualSpacing/>
        <w:rPr>
          <w:rFonts w:asciiTheme="minorHAnsi" w:hAnsiTheme="minorHAnsi" w:cstheme="minorHAnsi"/>
        </w:rPr>
      </w:pPr>
      <w:r w:rsidRPr="006C4F64">
        <w:rPr>
          <w:rFonts w:asciiTheme="minorHAnsi" w:hAnsiTheme="minorHAnsi" w:cstheme="minorHAnsi"/>
        </w:rPr>
        <w:t xml:space="preserve">The proposed extensions to the Service Arrangements arise from the work currently underway.  </w:t>
      </w:r>
    </w:p>
    <w:p w14:paraId="546B09C7" w14:textId="77777777" w:rsidR="00A83EC3" w:rsidRPr="006C4F64" w:rsidRDefault="00A83EC3" w:rsidP="00A83EC3">
      <w:pPr>
        <w:contextualSpacing/>
        <w:rPr>
          <w:rFonts w:asciiTheme="minorHAnsi" w:hAnsiTheme="minorHAnsi" w:cstheme="minorHAnsi"/>
        </w:rPr>
      </w:pPr>
    </w:p>
    <w:p w14:paraId="2962EB5D" w14:textId="77777777" w:rsidR="00A83EC3" w:rsidRPr="006C4F64" w:rsidRDefault="00A83EC3" w:rsidP="00A83EC3">
      <w:pPr>
        <w:contextualSpacing/>
        <w:rPr>
          <w:rFonts w:asciiTheme="minorHAnsi" w:hAnsiTheme="minorHAnsi" w:cstheme="minorHAnsi"/>
        </w:rPr>
      </w:pPr>
      <w:r w:rsidRPr="006C4F64">
        <w:rPr>
          <w:rFonts w:asciiTheme="minorHAnsi" w:hAnsiTheme="minorHAnsi" w:cstheme="minorHAnsi"/>
        </w:rPr>
        <w:t>Firstly, Legatus proposes to make use of the expertise it has developed to deliver CWMS services on a State-wide basis.  Sessions would be held in each other five regions of Councils.  The details of these sessions would be developed in consultation with the other regional organisations but the central theme would be to build capacity across the regions.</w:t>
      </w:r>
    </w:p>
    <w:p w14:paraId="52EC20FB" w14:textId="77777777" w:rsidR="00A83EC3" w:rsidRPr="006C4F64" w:rsidRDefault="00A83EC3" w:rsidP="00A83EC3">
      <w:pPr>
        <w:contextualSpacing/>
        <w:rPr>
          <w:rFonts w:asciiTheme="minorHAnsi" w:hAnsiTheme="minorHAnsi" w:cstheme="minorHAnsi"/>
        </w:rPr>
      </w:pPr>
    </w:p>
    <w:p w14:paraId="47BA20FD" w14:textId="77777777" w:rsidR="00A83EC3" w:rsidRPr="006C4F64" w:rsidRDefault="00A83EC3" w:rsidP="00A83EC3">
      <w:pPr>
        <w:contextualSpacing/>
        <w:rPr>
          <w:rFonts w:asciiTheme="minorHAnsi" w:hAnsiTheme="minorHAnsi" w:cstheme="minorHAnsi"/>
        </w:rPr>
      </w:pPr>
      <w:r w:rsidRPr="006C4F64">
        <w:rPr>
          <w:rFonts w:asciiTheme="minorHAnsi" w:hAnsiTheme="minorHAnsi" w:cstheme="minorHAnsi"/>
        </w:rPr>
        <w:t>Secondly, the State-wide annual conference would be repeated.  Again the details will emerge more clearly as we approach the middle of next year but the central idea is to maintain the dialogue established among practitioners, researchers and regulators.  By reconvening, these relationships are strengthened and the issues can be progressed.</w:t>
      </w:r>
    </w:p>
    <w:p w14:paraId="4A9061A7" w14:textId="77777777" w:rsidR="00A83EC3" w:rsidRPr="006C4F64" w:rsidRDefault="00A83EC3" w:rsidP="00A83EC3">
      <w:pPr>
        <w:contextualSpacing/>
        <w:rPr>
          <w:rFonts w:asciiTheme="minorHAnsi" w:hAnsiTheme="minorHAnsi" w:cstheme="minorHAnsi"/>
        </w:rPr>
      </w:pPr>
    </w:p>
    <w:p w14:paraId="1FFF120C" w14:textId="77777777" w:rsidR="00A83EC3" w:rsidRPr="006C4F64" w:rsidRDefault="00A83EC3" w:rsidP="00A83EC3">
      <w:pPr>
        <w:contextualSpacing/>
        <w:rPr>
          <w:rFonts w:asciiTheme="minorHAnsi" w:hAnsiTheme="minorHAnsi" w:cstheme="minorHAnsi"/>
        </w:rPr>
      </w:pPr>
      <w:r w:rsidRPr="006C4F64">
        <w:rPr>
          <w:rFonts w:asciiTheme="minorHAnsi" w:hAnsiTheme="minorHAnsi" w:cstheme="minorHAnsi"/>
        </w:rPr>
        <w:t>Thirdly, Legatus is preparing to work with ESCOSA to trial a simplified model of reporting which may be described as the verify-trust model.  ESCOSA has proposed this model whereby CWMS operators that are already compliant can be trusted to report only significant events.  Regular, routine reporting would not be required.  Legatus will propose a trial of this system among its Councils.</w:t>
      </w:r>
    </w:p>
    <w:p w14:paraId="176409B0" w14:textId="77777777" w:rsidR="00A83EC3" w:rsidRPr="006C4F64" w:rsidRDefault="00A83EC3" w:rsidP="00A83EC3">
      <w:pPr>
        <w:contextualSpacing/>
        <w:rPr>
          <w:rFonts w:asciiTheme="minorHAnsi" w:hAnsiTheme="minorHAnsi" w:cstheme="minorHAnsi"/>
        </w:rPr>
      </w:pPr>
    </w:p>
    <w:p w14:paraId="73D468AB" w14:textId="77777777" w:rsidR="00A83EC3" w:rsidRPr="006C4F64" w:rsidRDefault="00A83EC3" w:rsidP="00A83EC3">
      <w:pPr>
        <w:contextualSpacing/>
        <w:rPr>
          <w:rFonts w:asciiTheme="minorHAnsi" w:hAnsiTheme="minorHAnsi" w:cstheme="minorHAnsi"/>
        </w:rPr>
      </w:pPr>
      <w:r w:rsidRPr="006C4F64">
        <w:rPr>
          <w:rFonts w:asciiTheme="minorHAnsi" w:hAnsiTheme="minorHAnsi" w:cstheme="minorHAnsi"/>
        </w:rPr>
        <w:t>Fourthly, Legatus will continue to work with TAFE and the regulators to develop an online, anytime course for compliance officers.  The course will set out the principles of regulation by each agency and will use worked, arithmetic examples to illustrate exactly what is required of compliance officers.  This course responds to the need for regional Councils to have ready access to skills development that is focussed on South Australian regulation.</w:t>
      </w:r>
    </w:p>
    <w:p w14:paraId="36C0701E" w14:textId="77777777" w:rsidR="00A83EC3" w:rsidRPr="006C4F64" w:rsidRDefault="00A83EC3" w:rsidP="00A83EC3">
      <w:pPr>
        <w:contextualSpacing/>
        <w:rPr>
          <w:rFonts w:asciiTheme="minorHAnsi" w:hAnsiTheme="minorHAnsi" w:cstheme="minorHAnsi"/>
        </w:rPr>
      </w:pPr>
    </w:p>
    <w:p w14:paraId="0F99FC74" w14:textId="77777777" w:rsidR="00A83EC3" w:rsidRPr="006C4F64" w:rsidRDefault="00A83EC3" w:rsidP="00A83EC3">
      <w:pPr>
        <w:contextualSpacing/>
        <w:rPr>
          <w:rFonts w:asciiTheme="minorHAnsi" w:hAnsiTheme="minorHAnsi" w:cstheme="minorHAnsi"/>
        </w:rPr>
      </w:pPr>
      <w:r w:rsidRPr="006C4F64">
        <w:rPr>
          <w:rFonts w:asciiTheme="minorHAnsi" w:hAnsiTheme="minorHAnsi" w:cstheme="minorHAnsi"/>
        </w:rPr>
        <w:t>Fifthly, Legatus proposes to continue developing its partnerships with the three South Australian universities.  Memoranda of Understanding have been signed with each and student interns have been hosted in a number of fields, including CWMS.  Working with UniSA in particular, Legatus will supervise research into remote sensing and asset management in CWMS.</w:t>
      </w:r>
    </w:p>
    <w:p w14:paraId="2176A18B" w14:textId="77777777" w:rsidR="00A83EC3" w:rsidRPr="006C4F64" w:rsidRDefault="00A83EC3" w:rsidP="00A83EC3">
      <w:pPr>
        <w:contextualSpacing/>
        <w:rPr>
          <w:rFonts w:asciiTheme="minorHAnsi" w:hAnsiTheme="minorHAnsi" w:cstheme="minorHAnsi"/>
        </w:rPr>
      </w:pPr>
    </w:p>
    <w:p w14:paraId="5F201C33" w14:textId="77777777" w:rsidR="00A83EC3" w:rsidRPr="006C4F64" w:rsidRDefault="00A83EC3" w:rsidP="00A83EC3">
      <w:pPr>
        <w:contextualSpacing/>
        <w:rPr>
          <w:rFonts w:asciiTheme="minorHAnsi" w:hAnsiTheme="minorHAnsi" w:cstheme="minorHAnsi"/>
        </w:rPr>
      </w:pPr>
      <w:r w:rsidRPr="006C4F64">
        <w:rPr>
          <w:rFonts w:asciiTheme="minorHAnsi" w:hAnsiTheme="minorHAnsi" w:cstheme="minorHAnsi"/>
        </w:rPr>
        <w:t>Sixthly, Legatus will continue investigating the options for joint management of CWMS.  It will prepare a Discussion Paper on possible business models and forms of collaboration regarding the building, ownership and operation of CWMS.</w:t>
      </w:r>
    </w:p>
    <w:p w14:paraId="6DE6AE09" w14:textId="77777777" w:rsidR="00A83EC3" w:rsidRPr="006C4F64" w:rsidRDefault="00A83EC3" w:rsidP="00A83EC3">
      <w:pPr>
        <w:contextualSpacing/>
        <w:rPr>
          <w:rFonts w:asciiTheme="minorHAnsi" w:hAnsiTheme="minorHAnsi" w:cstheme="minorHAnsi"/>
        </w:rPr>
      </w:pPr>
    </w:p>
    <w:p w14:paraId="45AF837C" w14:textId="77777777" w:rsidR="00A83EC3" w:rsidRPr="006C4F64" w:rsidRDefault="00A83EC3" w:rsidP="00A83EC3">
      <w:pPr>
        <w:contextualSpacing/>
        <w:rPr>
          <w:rFonts w:asciiTheme="minorHAnsi" w:hAnsiTheme="minorHAnsi" w:cstheme="minorHAnsi"/>
        </w:rPr>
      </w:pPr>
      <w:r w:rsidRPr="006C4F64">
        <w:rPr>
          <w:rFonts w:asciiTheme="minorHAnsi" w:hAnsiTheme="minorHAnsi" w:cstheme="minorHAnsi"/>
        </w:rPr>
        <w:t>Finally, Legatus is planning to investigate further the possibility of a biosolids processing plant.  This work would intersect with another Legatus activity developing a draft regional waste management strategy.</w:t>
      </w:r>
    </w:p>
    <w:p w14:paraId="7953FB65" w14:textId="77777777" w:rsidR="00A83EC3" w:rsidRPr="006C4F64" w:rsidRDefault="00A83EC3" w:rsidP="00A83EC3">
      <w:pPr>
        <w:contextualSpacing/>
        <w:rPr>
          <w:rFonts w:asciiTheme="minorHAnsi" w:hAnsiTheme="minorHAnsi" w:cstheme="minorHAnsi"/>
        </w:rPr>
      </w:pPr>
      <w:r w:rsidRPr="006C4F64">
        <w:rPr>
          <w:rFonts w:asciiTheme="minorHAnsi" w:hAnsiTheme="minorHAnsi" w:cstheme="minorHAnsi"/>
        </w:rPr>
        <w:t>With Legatus taking a State-wide approach, it will be important to collaborate closely with the LGA CWMS Committee.  Legatus already liaises directly with the CWMS Manager at LGA and with her support, Legatus could play a role in providing regular and more detailed input to the Committee.</w:t>
      </w:r>
    </w:p>
    <w:p w14:paraId="2600DA90" w14:textId="77777777" w:rsidR="00A83EC3" w:rsidRPr="006C4F64" w:rsidRDefault="00A83EC3" w:rsidP="00A83EC3">
      <w:pPr>
        <w:jc w:val="both"/>
        <w:rPr>
          <w:rFonts w:asciiTheme="minorHAnsi" w:hAnsiTheme="minorHAnsi" w:cstheme="minorHAnsi"/>
        </w:rPr>
      </w:pPr>
    </w:p>
    <w:p w14:paraId="09CD9464" w14:textId="77777777" w:rsidR="00A83EC3" w:rsidRPr="006C4F64" w:rsidRDefault="00A83EC3" w:rsidP="00A83EC3">
      <w:pPr>
        <w:jc w:val="both"/>
        <w:rPr>
          <w:rFonts w:asciiTheme="minorHAnsi" w:hAnsiTheme="minorHAnsi" w:cstheme="minorHAnsi"/>
          <w:b/>
        </w:rPr>
      </w:pPr>
      <w:r w:rsidRPr="006C4F64">
        <w:rPr>
          <w:rFonts w:asciiTheme="minorHAnsi" w:hAnsiTheme="minorHAnsi" w:cstheme="minorHAnsi"/>
          <w:b/>
        </w:rPr>
        <w:t>Budget 16 months, March 2020 – June 2021 (GST Exclusive)</w:t>
      </w:r>
    </w:p>
    <w:p w14:paraId="2EC27E25" w14:textId="77777777" w:rsidR="00A83EC3" w:rsidRPr="006C4F64" w:rsidRDefault="00A83EC3" w:rsidP="00A83EC3">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2960"/>
        <w:gridCol w:w="2795"/>
        <w:gridCol w:w="2932"/>
      </w:tblGrid>
      <w:tr w:rsidR="00A83EC3" w:rsidRPr="006C4F64" w14:paraId="4D23B4BE" w14:textId="77777777" w:rsidTr="007F4335">
        <w:tc>
          <w:tcPr>
            <w:tcW w:w="3492" w:type="dxa"/>
          </w:tcPr>
          <w:p w14:paraId="766E25A8" w14:textId="77777777" w:rsidR="00A83EC3" w:rsidRPr="006C4F64" w:rsidRDefault="00A83EC3" w:rsidP="007F4335">
            <w:pPr>
              <w:jc w:val="both"/>
              <w:rPr>
                <w:rFonts w:asciiTheme="minorHAnsi" w:hAnsiTheme="minorHAnsi" w:cstheme="minorHAnsi"/>
                <w:b/>
              </w:rPr>
            </w:pPr>
            <w:r w:rsidRPr="006C4F64">
              <w:rPr>
                <w:rFonts w:asciiTheme="minorHAnsi" w:hAnsiTheme="minorHAnsi" w:cstheme="minorHAnsi"/>
                <w:b/>
              </w:rPr>
              <w:t>Activity</w:t>
            </w:r>
          </w:p>
        </w:tc>
        <w:tc>
          <w:tcPr>
            <w:tcW w:w="3493" w:type="dxa"/>
          </w:tcPr>
          <w:p w14:paraId="7AA7A486" w14:textId="77777777" w:rsidR="00A83EC3" w:rsidRPr="006C4F64" w:rsidRDefault="00A83EC3" w:rsidP="007F4335">
            <w:pPr>
              <w:jc w:val="both"/>
              <w:rPr>
                <w:rFonts w:asciiTheme="minorHAnsi" w:hAnsiTheme="minorHAnsi" w:cstheme="minorHAnsi"/>
                <w:b/>
              </w:rPr>
            </w:pPr>
            <w:r w:rsidRPr="006C4F64">
              <w:rPr>
                <w:rFonts w:asciiTheme="minorHAnsi" w:hAnsiTheme="minorHAnsi" w:cstheme="minorHAnsi"/>
                <w:b/>
              </w:rPr>
              <w:t>LGA CWMS subsidy support</w:t>
            </w:r>
          </w:p>
        </w:tc>
        <w:tc>
          <w:tcPr>
            <w:tcW w:w="3493" w:type="dxa"/>
          </w:tcPr>
          <w:p w14:paraId="0C5FAAAF" w14:textId="77777777" w:rsidR="00A83EC3" w:rsidRPr="006C4F64" w:rsidRDefault="00A83EC3" w:rsidP="007F4335">
            <w:pPr>
              <w:jc w:val="both"/>
              <w:rPr>
                <w:rFonts w:asciiTheme="minorHAnsi" w:hAnsiTheme="minorHAnsi" w:cstheme="minorHAnsi"/>
                <w:b/>
              </w:rPr>
            </w:pPr>
            <w:r w:rsidRPr="006C4F64">
              <w:rPr>
                <w:rFonts w:asciiTheme="minorHAnsi" w:hAnsiTheme="minorHAnsi" w:cstheme="minorHAnsi"/>
                <w:b/>
              </w:rPr>
              <w:t>Legatus Group contributions</w:t>
            </w:r>
          </w:p>
        </w:tc>
      </w:tr>
      <w:tr w:rsidR="00A83EC3" w:rsidRPr="006C4F64" w14:paraId="0DC7433B" w14:textId="77777777" w:rsidTr="007F4335">
        <w:tc>
          <w:tcPr>
            <w:tcW w:w="3492" w:type="dxa"/>
          </w:tcPr>
          <w:p w14:paraId="6DD9CD90"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Project Officer (0.25 FTE for 16 months)</w:t>
            </w:r>
          </w:p>
        </w:tc>
        <w:tc>
          <w:tcPr>
            <w:tcW w:w="3493" w:type="dxa"/>
          </w:tcPr>
          <w:p w14:paraId="57B006C5" w14:textId="77777777" w:rsidR="00A83EC3" w:rsidRPr="006C4F64" w:rsidRDefault="00A83EC3" w:rsidP="007F4335">
            <w:pPr>
              <w:jc w:val="right"/>
              <w:rPr>
                <w:rFonts w:asciiTheme="minorHAnsi" w:hAnsiTheme="minorHAnsi" w:cstheme="minorHAnsi"/>
              </w:rPr>
            </w:pPr>
            <w:r w:rsidRPr="006C4F64">
              <w:rPr>
                <w:rFonts w:asciiTheme="minorHAnsi" w:hAnsiTheme="minorHAnsi" w:cstheme="minorHAnsi"/>
              </w:rPr>
              <w:t>32,000</w:t>
            </w:r>
          </w:p>
        </w:tc>
        <w:tc>
          <w:tcPr>
            <w:tcW w:w="3493" w:type="dxa"/>
          </w:tcPr>
          <w:p w14:paraId="17009E58" w14:textId="77777777" w:rsidR="00A83EC3" w:rsidRPr="006C4F64" w:rsidRDefault="00A83EC3" w:rsidP="007F4335">
            <w:pPr>
              <w:jc w:val="both"/>
              <w:rPr>
                <w:rFonts w:asciiTheme="minorHAnsi" w:hAnsiTheme="minorHAnsi" w:cstheme="minorHAnsi"/>
              </w:rPr>
            </w:pPr>
          </w:p>
        </w:tc>
      </w:tr>
      <w:tr w:rsidR="00A83EC3" w:rsidRPr="006C4F64" w14:paraId="7FAE4F23" w14:textId="77777777" w:rsidTr="007F4335">
        <w:tc>
          <w:tcPr>
            <w:tcW w:w="3492" w:type="dxa"/>
          </w:tcPr>
          <w:p w14:paraId="306AD6D2"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Travel</w:t>
            </w:r>
          </w:p>
        </w:tc>
        <w:tc>
          <w:tcPr>
            <w:tcW w:w="3493" w:type="dxa"/>
          </w:tcPr>
          <w:p w14:paraId="0DC00C76" w14:textId="77777777" w:rsidR="00A83EC3" w:rsidRPr="006C4F64" w:rsidRDefault="00A83EC3" w:rsidP="007F4335">
            <w:pPr>
              <w:jc w:val="right"/>
              <w:rPr>
                <w:rFonts w:asciiTheme="minorHAnsi" w:hAnsiTheme="minorHAnsi" w:cstheme="minorHAnsi"/>
              </w:rPr>
            </w:pPr>
            <w:r w:rsidRPr="006C4F64">
              <w:rPr>
                <w:rFonts w:asciiTheme="minorHAnsi" w:hAnsiTheme="minorHAnsi" w:cstheme="minorHAnsi"/>
              </w:rPr>
              <w:t>10,000</w:t>
            </w:r>
          </w:p>
        </w:tc>
        <w:tc>
          <w:tcPr>
            <w:tcW w:w="3493" w:type="dxa"/>
          </w:tcPr>
          <w:p w14:paraId="1BAABA00" w14:textId="77777777" w:rsidR="00A83EC3" w:rsidRPr="006C4F64" w:rsidRDefault="00A83EC3" w:rsidP="007F4335">
            <w:pPr>
              <w:jc w:val="right"/>
              <w:rPr>
                <w:rFonts w:asciiTheme="minorHAnsi" w:hAnsiTheme="minorHAnsi" w:cstheme="minorHAnsi"/>
              </w:rPr>
            </w:pPr>
            <w:r w:rsidRPr="006C4F64">
              <w:rPr>
                <w:rFonts w:asciiTheme="minorHAnsi" w:hAnsiTheme="minorHAnsi" w:cstheme="minorHAnsi"/>
              </w:rPr>
              <w:t>4,000</w:t>
            </w:r>
          </w:p>
        </w:tc>
      </w:tr>
      <w:tr w:rsidR="00A83EC3" w:rsidRPr="006C4F64" w14:paraId="1D220DCB" w14:textId="77777777" w:rsidTr="007F4335">
        <w:tc>
          <w:tcPr>
            <w:tcW w:w="3492" w:type="dxa"/>
          </w:tcPr>
          <w:p w14:paraId="5D1EFA4F"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lastRenderedPageBreak/>
              <w:t xml:space="preserve">Workshops </w:t>
            </w:r>
          </w:p>
        </w:tc>
        <w:tc>
          <w:tcPr>
            <w:tcW w:w="3493" w:type="dxa"/>
          </w:tcPr>
          <w:p w14:paraId="087587A3" w14:textId="77777777" w:rsidR="00A83EC3" w:rsidRPr="006C4F64" w:rsidRDefault="00A83EC3" w:rsidP="007F4335">
            <w:pPr>
              <w:jc w:val="right"/>
              <w:rPr>
                <w:rFonts w:asciiTheme="minorHAnsi" w:hAnsiTheme="minorHAnsi" w:cstheme="minorHAnsi"/>
              </w:rPr>
            </w:pPr>
            <w:r w:rsidRPr="006C4F64">
              <w:rPr>
                <w:rFonts w:asciiTheme="minorHAnsi" w:hAnsiTheme="minorHAnsi" w:cstheme="minorHAnsi"/>
              </w:rPr>
              <w:t>7,500</w:t>
            </w:r>
          </w:p>
        </w:tc>
        <w:tc>
          <w:tcPr>
            <w:tcW w:w="3493" w:type="dxa"/>
          </w:tcPr>
          <w:p w14:paraId="1FE13103" w14:textId="77777777" w:rsidR="00A83EC3" w:rsidRPr="006C4F64" w:rsidRDefault="00A83EC3" w:rsidP="007F4335">
            <w:pPr>
              <w:jc w:val="right"/>
              <w:rPr>
                <w:rFonts w:asciiTheme="minorHAnsi" w:hAnsiTheme="minorHAnsi" w:cstheme="minorHAnsi"/>
              </w:rPr>
            </w:pPr>
            <w:r w:rsidRPr="006C4F64">
              <w:rPr>
                <w:rFonts w:asciiTheme="minorHAnsi" w:hAnsiTheme="minorHAnsi" w:cstheme="minorHAnsi"/>
              </w:rPr>
              <w:t>6,000</w:t>
            </w:r>
          </w:p>
        </w:tc>
      </w:tr>
      <w:tr w:rsidR="00A83EC3" w:rsidRPr="006C4F64" w14:paraId="7491F239" w14:textId="77777777" w:rsidTr="007F4335">
        <w:tc>
          <w:tcPr>
            <w:tcW w:w="3492" w:type="dxa"/>
          </w:tcPr>
          <w:p w14:paraId="3E77E616"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Conference</w:t>
            </w:r>
          </w:p>
        </w:tc>
        <w:tc>
          <w:tcPr>
            <w:tcW w:w="3493" w:type="dxa"/>
          </w:tcPr>
          <w:p w14:paraId="18C29C75" w14:textId="3259273B" w:rsidR="00A83EC3" w:rsidRPr="006C4F64" w:rsidRDefault="00A83EC3" w:rsidP="007F4335">
            <w:pPr>
              <w:jc w:val="right"/>
              <w:rPr>
                <w:rFonts w:asciiTheme="minorHAnsi" w:hAnsiTheme="minorHAnsi" w:cstheme="minorHAnsi"/>
              </w:rPr>
            </w:pPr>
            <w:r w:rsidRPr="006C4F64">
              <w:rPr>
                <w:rFonts w:asciiTheme="minorHAnsi" w:hAnsiTheme="minorHAnsi" w:cstheme="minorHAnsi"/>
              </w:rPr>
              <w:t>3</w:t>
            </w:r>
            <w:r w:rsidR="004E3EEA">
              <w:rPr>
                <w:rFonts w:asciiTheme="minorHAnsi" w:hAnsiTheme="minorHAnsi" w:cstheme="minorHAnsi"/>
              </w:rPr>
              <w:t>,</w:t>
            </w:r>
            <w:r w:rsidRPr="006C4F64">
              <w:rPr>
                <w:rFonts w:asciiTheme="minorHAnsi" w:hAnsiTheme="minorHAnsi" w:cstheme="minorHAnsi"/>
              </w:rPr>
              <w:t>500</w:t>
            </w:r>
          </w:p>
        </w:tc>
        <w:tc>
          <w:tcPr>
            <w:tcW w:w="3493" w:type="dxa"/>
          </w:tcPr>
          <w:p w14:paraId="7CF8EC66" w14:textId="77777777" w:rsidR="00A83EC3" w:rsidRPr="006C4F64" w:rsidRDefault="00A83EC3" w:rsidP="007F4335">
            <w:pPr>
              <w:jc w:val="right"/>
              <w:rPr>
                <w:rFonts w:asciiTheme="minorHAnsi" w:hAnsiTheme="minorHAnsi" w:cstheme="minorHAnsi"/>
              </w:rPr>
            </w:pPr>
          </w:p>
        </w:tc>
      </w:tr>
      <w:tr w:rsidR="00A83EC3" w:rsidRPr="006C4F64" w14:paraId="62E531F3" w14:textId="77777777" w:rsidTr="007F4335">
        <w:tc>
          <w:tcPr>
            <w:tcW w:w="3492" w:type="dxa"/>
          </w:tcPr>
          <w:p w14:paraId="1E066793"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 xml:space="preserve">Administration &amp; management </w:t>
            </w:r>
          </w:p>
        </w:tc>
        <w:tc>
          <w:tcPr>
            <w:tcW w:w="3493" w:type="dxa"/>
          </w:tcPr>
          <w:p w14:paraId="76C03769" w14:textId="77777777" w:rsidR="00A83EC3" w:rsidRPr="006C4F64" w:rsidRDefault="00A83EC3" w:rsidP="007F4335">
            <w:pPr>
              <w:jc w:val="right"/>
              <w:rPr>
                <w:rFonts w:asciiTheme="minorHAnsi" w:hAnsiTheme="minorHAnsi" w:cstheme="minorHAnsi"/>
              </w:rPr>
            </w:pPr>
          </w:p>
        </w:tc>
        <w:tc>
          <w:tcPr>
            <w:tcW w:w="3493" w:type="dxa"/>
          </w:tcPr>
          <w:p w14:paraId="471A9C26" w14:textId="3737C98D" w:rsidR="00A83EC3" w:rsidRPr="004E3EEA" w:rsidRDefault="00A83EC3" w:rsidP="007F4335">
            <w:pPr>
              <w:jc w:val="right"/>
              <w:rPr>
                <w:rFonts w:asciiTheme="minorHAnsi" w:hAnsiTheme="minorHAnsi" w:cstheme="minorHAnsi"/>
                <w:highlight w:val="yellow"/>
              </w:rPr>
            </w:pPr>
            <w:r w:rsidRPr="004E3EEA">
              <w:rPr>
                <w:rFonts w:asciiTheme="minorHAnsi" w:hAnsiTheme="minorHAnsi" w:cstheme="minorHAnsi"/>
                <w:highlight w:val="yellow"/>
              </w:rPr>
              <w:t>13,500</w:t>
            </w:r>
            <w:r w:rsidR="004E3EEA" w:rsidRPr="004E3EEA">
              <w:rPr>
                <w:rFonts w:asciiTheme="minorHAnsi" w:hAnsiTheme="minorHAnsi" w:cstheme="minorHAnsi"/>
                <w:highlight w:val="yellow"/>
              </w:rPr>
              <w:t xml:space="preserve"> in-kind</w:t>
            </w:r>
          </w:p>
        </w:tc>
      </w:tr>
      <w:tr w:rsidR="00A83EC3" w:rsidRPr="006C4F64" w14:paraId="5E3A2F5C" w14:textId="77777777" w:rsidTr="007F4335">
        <w:tc>
          <w:tcPr>
            <w:tcW w:w="3492" w:type="dxa"/>
          </w:tcPr>
          <w:p w14:paraId="0DBA1072" w14:textId="77777777" w:rsidR="00A83EC3" w:rsidRPr="006C4F64" w:rsidRDefault="00A83EC3" w:rsidP="007F4335">
            <w:pPr>
              <w:jc w:val="both"/>
              <w:rPr>
                <w:rFonts w:asciiTheme="minorHAnsi" w:hAnsiTheme="minorHAnsi" w:cstheme="minorHAnsi"/>
              </w:rPr>
            </w:pPr>
            <w:r w:rsidRPr="006C4F64">
              <w:rPr>
                <w:rFonts w:asciiTheme="minorHAnsi" w:hAnsiTheme="minorHAnsi" w:cstheme="minorHAnsi"/>
              </w:rPr>
              <w:t xml:space="preserve">Officers / collaboration Constituent Councils involvement </w:t>
            </w:r>
          </w:p>
        </w:tc>
        <w:tc>
          <w:tcPr>
            <w:tcW w:w="3493" w:type="dxa"/>
          </w:tcPr>
          <w:p w14:paraId="36159EBC" w14:textId="77777777" w:rsidR="00A83EC3" w:rsidRPr="006C4F64" w:rsidRDefault="00A83EC3" w:rsidP="007F4335">
            <w:pPr>
              <w:jc w:val="right"/>
              <w:rPr>
                <w:rFonts w:asciiTheme="minorHAnsi" w:hAnsiTheme="minorHAnsi" w:cstheme="minorHAnsi"/>
              </w:rPr>
            </w:pPr>
          </w:p>
        </w:tc>
        <w:tc>
          <w:tcPr>
            <w:tcW w:w="3493" w:type="dxa"/>
          </w:tcPr>
          <w:p w14:paraId="76776A69" w14:textId="4D963359" w:rsidR="00A83EC3" w:rsidRPr="004E3EEA" w:rsidRDefault="00A83EC3" w:rsidP="007F4335">
            <w:pPr>
              <w:jc w:val="right"/>
              <w:rPr>
                <w:rFonts w:asciiTheme="minorHAnsi" w:hAnsiTheme="minorHAnsi" w:cstheme="minorHAnsi"/>
                <w:highlight w:val="yellow"/>
              </w:rPr>
            </w:pPr>
            <w:r w:rsidRPr="004E3EEA">
              <w:rPr>
                <w:rFonts w:asciiTheme="minorHAnsi" w:hAnsiTheme="minorHAnsi" w:cstheme="minorHAnsi"/>
                <w:highlight w:val="yellow"/>
              </w:rPr>
              <w:t>30,000</w:t>
            </w:r>
            <w:r w:rsidR="004E3EEA" w:rsidRPr="004E3EEA">
              <w:rPr>
                <w:rFonts w:asciiTheme="minorHAnsi" w:hAnsiTheme="minorHAnsi" w:cstheme="minorHAnsi"/>
                <w:highlight w:val="yellow"/>
              </w:rPr>
              <w:t xml:space="preserve"> in-kind</w:t>
            </w:r>
          </w:p>
        </w:tc>
      </w:tr>
      <w:tr w:rsidR="00A83EC3" w:rsidRPr="006C4F64" w14:paraId="2240D294" w14:textId="77777777" w:rsidTr="007F4335">
        <w:tc>
          <w:tcPr>
            <w:tcW w:w="3492" w:type="dxa"/>
          </w:tcPr>
          <w:p w14:paraId="7937C7F1" w14:textId="77777777" w:rsidR="00A83EC3" w:rsidRPr="006C4F64" w:rsidRDefault="00A83EC3" w:rsidP="007F4335">
            <w:pPr>
              <w:jc w:val="right"/>
              <w:rPr>
                <w:rFonts w:asciiTheme="minorHAnsi" w:hAnsiTheme="minorHAnsi" w:cstheme="minorHAnsi"/>
                <w:b/>
                <w:bCs/>
              </w:rPr>
            </w:pPr>
            <w:r w:rsidRPr="006C4F64">
              <w:rPr>
                <w:rFonts w:asciiTheme="minorHAnsi" w:hAnsiTheme="minorHAnsi" w:cstheme="minorHAnsi"/>
                <w:b/>
                <w:bCs/>
              </w:rPr>
              <w:t>Total</w:t>
            </w:r>
          </w:p>
        </w:tc>
        <w:tc>
          <w:tcPr>
            <w:tcW w:w="3493" w:type="dxa"/>
          </w:tcPr>
          <w:p w14:paraId="6BFE5B7D" w14:textId="762D0F17" w:rsidR="00A83EC3" w:rsidRPr="006C4F64" w:rsidRDefault="004E3EEA" w:rsidP="007F4335">
            <w:pPr>
              <w:jc w:val="right"/>
              <w:rPr>
                <w:rFonts w:asciiTheme="minorHAnsi" w:hAnsiTheme="minorHAnsi" w:cstheme="minorHAnsi"/>
                <w:b/>
                <w:bCs/>
              </w:rPr>
            </w:pPr>
            <w:r>
              <w:rPr>
                <w:rFonts w:asciiTheme="minorHAnsi" w:hAnsiTheme="minorHAnsi" w:cstheme="minorHAnsi"/>
                <w:b/>
                <w:bCs/>
              </w:rPr>
              <w:t>$</w:t>
            </w:r>
            <w:r w:rsidR="00A83EC3" w:rsidRPr="006C4F64">
              <w:rPr>
                <w:rFonts w:asciiTheme="minorHAnsi" w:hAnsiTheme="minorHAnsi" w:cstheme="minorHAnsi"/>
                <w:b/>
                <w:bCs/>
              </w:rPr>
              <w:t>53,000</w:t>
            </w:r>
          </w:p>
        </w:tc>
        <w:tc>
          <w:tcPr>
            <w:tcW w:w="3493" w:type="dxa"/>
          </w:tcPr>
          <w:p w14:paraId="55793846" w14:textId="0C9205A0" w:rsidR="004E3EEA" w:rsidRPr="004E3EEA" w:rsidRDefault="004E3EEA" w:rsidP="007F4335">
            <w:pPr>
              <w:jc w:val="right"/>
              <w:rPr>
                <w:rFonts w:asciiTheme="minorHAnsi" w:hAnsiTheme="minorHAnsi" w:cstheme="minorHAnsi"/>
                <w:b/>
                <w:bCs/>
                <w:highlight w:val="yellow"/>
              </w:rPr>
            </w:pPr>
            <w:r w:rsidRPr="004E3EEA">
              <w:rPr>
                <w:rFonts w:asciiTheme="minorHAnsi" w:hAnsiTheme="minorHAnsi" w:cstheme="minorHAnsi"/>
                <w:b/>
                <w:bCs/>
                <w:highlight w:val="yellow"/>
              </w:rPr>
              <w:t>$10,000 cash</w:t>
            </w:r>
          </w:p>
          <w:p w14:paraId="1808BCD4" w14:textId="4D3E9D80" w:rsidR="00A83EC3" w:rsidRPr="004E3EEA" w:rsidRDefault="004E3EEA" w:rsidP="007F4335">
            <w:pPr>
              <w:jc w:val="right"/>
              <w:rPr>
                <w:rFonts w:asciiTheme="minorHAnsi" w:hAnsiTheme="minorHAnsi" w:cstheme="minorHAnsi"/>
                <w:b/>
                <w:bCs/>
                <w:highlight w:val="yellow"/>
              </w:rPr>
            </w:pPr>
            <w:r w:rsidRPr="004E3EEA">
              <w:rPr>
                <w:rFonts w:asciiTheme="minorHAnsi" w:hAnsiTheme="minorHAnsi" w:cstheme="minorHAnsi"/>
                <w:b/>
                <w:bCs/>
                <w:highlight w:val="yellow"/>
              </w:rPr>
              <w:t>$4</w:t>
            </w:r>
            <w:r w:rsidR="00A83EC3" w:rsidRPr="004E3EEA">
              <w:rPr>
                <w:rFonts w:asciiTheme="minorHAnsi" w:hAnsiTheme="minorHAnsi" w:cstheme="minorHAnsi"/>
                <w:b/>
                <w:bCs/>
                <w:highlight w:val="yellow"/>
              </w:rPr>
              <w:t>3,500</w:t>
            </w:r>
            <w:r w:rsidRPr="004E3EEA">
              <w:rPr>
                <w:rFonts w:asciiTheme="minorHAnsi" w:hAnsiTheme="minorHAnsi" w:cstheme="minorHAnsi"/>
                <w:b/>
                <w:bCs/>
                <w:highlight w:val="yellow"/>
              </w:rPr>
              <w:t xml:space="preserve"> in-kind</w:t>
            </w:r>
          </w:p>
        </w:tc>
      </w:tr>
    </w:tbl>
    <w:p w14:paraId="2BDB4F22" w14:textId="77777777" w:rsidR="00A83EC3" w:rsidRPr="006C4F64" w:rsidRDefault="00A83EC3" w:rsidP="00A83EC3">
      <w:pPr>
        <w:rPr>
          <w:rFonts w:asciiTheme="minorHAnsi" w:hAnsiTheme="minorHAnsi" w:cstheme="minorHAnsi"/>
        </w:rPr>
      </w:pPr>
    </w:p>
    <w:p w14:paraId="1A1F685A" w14:textId="77777777" w:rsidR="003F2EB7" w:rsidRPr="006C4F64" w:rsidRDefault="003F2EB7" w:rsidP="00793AC7">
      <w:pPr>
        <w:spacing w:line="360" w:lineRule="auto"/>
        <w:rPr>
          <w:rFonts w:asciiTheme="minorHAnsi" w:hAnsiTheme="minorHAnsi" w:cstheme="minorHAnsi"/>
        </w:rPr>
      </w:pPr>
    </w:p>
    <w:p w14:paraId="54A2780E" w14:textId="389E48CD" w:rsidR="00452CB3" w:rsidRPr="006C4F64" w:rsidRDefault="00452CB3">
      <w:pPr>
        <w:rPr>
          <w:rFonts w:asciiTheme="minorHAnsi" w:hAnsiTheme="minorHAnsi" w:cstheme="minorHAnsi"/>
        </w:rPr>
      </w:pPr>
      <w:r w:rsidRPr="006C4F64">
        <w:rPr>
          <w:rFonts w:asciiTheme="minorHAnsi" w:hAnsiTheme="minorHAnsi" w:cstheme="minorHAnsi"/>
        </w:rPr>
        <w:br w:type="page"/>
      </w:r>
    </w:p>
    <w:p w14:paraId="3349AAA5" w14:textId="7446B6E4" w:rsidR="00452CB3" w:rsidRPr="00452CB3" w:rsidRDefault="00452CB3" w:rsidP="00452CB3">
      <w:pPr>
        <w:spacing w:before="100" w:beforeAutospacing="1" w:after="100" w:afterAutospacing="1"/>
        <w:rPr>
          <w:rFonts w:ascii="Times New Roman" w:eastAsia="Times New Roman" w:hAnsi="Times New Roman"/>
          <w:lang w:eastAsia="en-GB"/>
        </w:rPr>
      </w:pPr>
      <w:r w:rsidRPr="006C4F64">
        <w:rPr>
          <w:rFonts w:eastAsia="Times New Roman" w:cs="Calibri"/>
          <w:b/>
          <w:bCs/>
          <w:lang w:eastAsia="en-GB"/>
        </w:rPr>
        <w:lastRenderedPageBreak/>
        <w:t xml:space="preserve">Appendix 2: </w:t>
      </w:r>
      <w:r w:rsidRPr="00452CB3">
        <w:rPr>
          <w:rFonts w:eastAsia="Times New Roman" w:cs="Calibri"/>
          <w:b/>
          <w:bCs/>
          <w:lang w:eastAsia="en-GB"/>
        </w:rPr>
        <w:t xml:space="preserve">Draft Infrastructure Standard </w:t>
      </w:r>
    </w:p>
    <w:p w14:paraId="2C243DD7" w14:textId="77777777" w:rsidR="00452CB3" w:rsidRPr="00452CB3" w:rsidRDefault="00452CB3" w:rsidP="00452CB3">
      <w:pPr>
        <w:spacing w:before="100" w:beforeAutospacing="1" w:after="100" w:afterAutospacing="1"/>
        <w:rPr>
          <w:rFonts w:ascii="Times New Roman" w:eastAsia="Times New Roman" w:hAnsi="Times New Roman"/>
          <w:lang w:eastAsia="en-GB"/>
        </w:rPr>
      </w:pPr>
      <w:r w:rsidRPr="00452CB3">
        <w:rPr>
          <w:rFonts w:eastAsia="Times New Roman" w:cs="Calibri"/>
          <w:lang w:eastAsia="en-GB"/>
        </w:rPr>
        <w:t xml:space="preserve">Thursday, Day Month, Year </w:t>
      </w:r>
    </w:p>
    <w:p w14:paraId="05652DA6" w14:textId="77777777" w:rsidR="00452CB3" w:rsidRPr="00452CB3" w:rsidRDefault="00452CB3" w:rsidP="00452CB3">
      <w:pPr>
        <w:spacing w:before="100" w:beforeAutospacing="1" w:after="100" w:afterAutospacing="1"/>
        <w:rPr>
          <w:rFonts w:ascii="Times New Roman" w:eastAsia="Times New Roman" w:hAnsi="Times New Roman"/>
          <w:lang w:eastAsia="en-GB"/>
        </w:rPr>
      </w:pPr>
      <w:r w:rsidRPr="00452CB3">
        <w:rPr>
          <w:rFonts w:eastAsia="Times New Roman" w:cs="Calibri"/>
          <w:b/>
          <w:bCs/>
          <w:lang w:eastAsia="en-GB"/>
        </w:rPr>
        <w:t xml:space="preserve">Water Industry Act 2012 Infrastructure Standard </w:t>
      </w:r>
      <w:r w:rsidRPr="00452CB3">
        <w:rPr>
          <w:rFonts w:eastAsia="Times New Roman" w:cs="Calibri"/>
          <w:i/>
          <w:iCs/>
          <w:lang w:eastAsia="en-GB"/>
        </w:rPr>
        <w:t xml:space="preserve">Published by the Technical Regulator </w:t>
      </w:r>
    </w:p>
    <w:p w14:paraId="1594EE8B" w14:textId="77777777" w:rsidR="00452CB3" w:rsidRPr="00452CB3" w:rsidRDefault="00452CB3" w:rsidP="00452CB3">
      <w:pPr>
        <w:spacing w:before="100" w:beforeAutospacing="1" w:after="100" w:afterAutospacing="1"/>
        <w:rPr>
          <w:rFonts w:ascii="Times New Roman" w:eastAsia="Times New Roman" w:hAnsi="Times New Roman"/>
          <w:lang w:eastAsia="en-GB"/>
        </w:rPr>
      </w:pPr>
      <w:r w:rsidRPr="00452CB3">
        <w:rPr>
          <w:rFonts w:eastAsia="Times New Roman" w:cs="Calibri"/>
          <w:lang w:eastAsia="en-GB"/>
        </w:rPr>
        <w:t xml:space="preserve">This Standard is published by the Technical Regulator pursuant to section 66 of the </w:t>
      </w:r>
      <w:r w:rsidRPr="00452CB3">
        <w:rPr>
          <w:rFonts w:eastAsia="Times New Roman" w:cs="Calibri"/>
          <w:i/>
          <w:iCs/>
          <w:lang w:eastAsia="en-GB"/>
        </w:rPr>
        <w:t>Water Industry Act 2012</w:t>
      </w:r>
      <w:r w:rsidRPr="00452CB3">
        <w:rPr>
          <w:rFonts w:eastAsia="Times New Roman" w:cs="Calibri"/>
          <w:lang w:eastAsia="en-GB"/>
        </w:rPr>
        <w:t xml:space="preserve">. This Standard comes into effect on the date on which it is gazetted. </w:t>
      </w:r>
    </w:p>
    <w:p w14:paraId="0D90134B" w14:textId="77777777" w:rsidR="00452CB3" w:rsidRPr="00452CB3" w:rsidRDefault="00452CB3" w:rsidP="00452CB3">
      <w:pPr>
        <w:spacing w:before="100" w:beforeAutospacing="1" w:after="100" w:afterAutospacing="1"/>
        <w:rPr>
          <w:rFonts w:ascii="Times New Roman" w:eastAsia="Times New Roman" w:hAnsi="Times New Roman"/>
          <w:lang w:eastAsia="en-GB"/>
        </w:rPr>
      </w:pPr>
      <w:r w:rsidRPr="00452CB3">
        <w:rPr>
          <w:rFonts w:eastAsia="Times New Roman" w:cs="Calibri"/>
          <w:lang w:eastAsia="en-GB"/>
        </w:rPr>
        <w:t xml:space="preserve">This Standard applies to infrastructure that is used, or is capable of being used in the water industry. </w:t>
      </w:r>
    </w:p>
    <w:p w14:paraId="6B40D655" w14:textId="77777777" w:rsidR="00452CB3" w:rsidRPr="00452CB3" w:rsidRDefault="00452CB3" w:rsidP="00452CB3">
      <w:pPr>
        <w:spacing w:before="100" w:beforeAutospacing="1" w:after="100" w:afterAutospacing="1"/>
        <w:rPr>
          <w:rFonts w:ascii="Times New Roman" w:eastAsia="Times New Roman" w:hAnsi="Times New Roman"/>
          <w:lang w:eastAsia="en-GB"/>
        </w:rPr>
      </w:pPr>
      <w:r w:rsidRPr="00452CB3">
        <w:rPr>
          <w:rFonts w:eastAsia="Times New Roman" w:cs="Calibri"/>
          <w:lang w:eastAsia="en-GB"/>
        </w:rPr>
        <w:t xml:space="preserve">In accordance with section 66(4) The Technical Regulator adopts the Water Services Association of Australia (WSAA) codes as amended from time to time as the principle minimum Standard for water and sewerage infrastructure. </w:t>
      </w:r>
    </w:p>
    <w:p w14:paraId="316B7846" w14:textId="77777777" w:rsidR="00452CB3" w:rsidRPr="00452CB3" w:rsidRDefault="00452CB3" w:rsidP="00452CB3">
      <w:pPr>
        <w:spacing w:before="100" w:beforeAutospacing="1" w:after="100" w:afterAutospacing="1"/>
        <w:rPr>
          <w:rFonts w:ascii="Times New Roman" w:eastAsia="Times New Roman" w:hAnsi="Times New Roman"/>
          <w:lang w:eastAsia="en-GB"/>
        </w:rPr>
      </w:pPr>
      <w:r w:rsidRPr="00452CB3">
        <w:rPr>
          <w:rFonts w:eastAsia="Times New Roman" w:cs="Calibri"/>
          <w:lang w:eastAsia="en-GB"/>
        </w:rPr>
        <w:t xml:space="preserve">The Technical Regulator may grant an exemption from this Standard, or specified provisions of this Standard, with or without conditions as the Technical Regulator considers appropriate. </w:t>
      </w:r>
    </w:p>
    <w:p w14:paraId="02F1DB31" w14:textId="77777777" w:rsidR="00452CB3" w:rsidRPr="00452CB3" w:rsidRDefault="00452CB3" w:rsidP="00452CB3">
      <w:pPr>
        <w:spacing w:before="100" w:beforeAutospacing="1" w:after="100" w:afterAutospacing="1"/>
        <w:rPr>
          <w:rFonts w:ascii="Times New Roman" w:eastAsia="Times New Roman" w:hAnsi="Times New Roman"/>
          <w:lang w:eastAsia="en-GB"/>
        </w:rPr>
      </w:pPr>
      <w:r w:rsidRPr="00452CB3">
        <w:rPr>
          <w:rFonts w:eastAsia="Times New Roman" w:cs="Calibri"/>
          <w:lang w:eastAsia="en-GB"/>
        </w:rPr>
        <w:t>Dated: Day Month Year R. Faunt</w:t>
      </w:r>
      <w:r w:rsidRPr="00452CB3">
        <w:rPr>
          <w:rFonts w:eastAsia="Times New Roman" w:cs="Calibri"/>
          <w:lang w:eastAsia="en-GB"/>
        </w:rPr>
        <w:br/>
        <w:t xml:space="preserve">Technical Regulator </w:t>
      </w:r>
    </w:p>
    <w:p w14:paraId="13729E67" w14:textId="170D66E2" w:rsidR="00452CB3" w:rsidRPr="00452CB3" w:rsidRDefault="00452CB3" w:rsidP="00452CB3">
      <w:pPr>
        <w:rPr>
          <w:rFonts w:ascii="Times New Roman" w:eastAsia="Times New Roman" w:hAnsi="Times New Roman"/>
          <w:lang w:eastAsia="en-GB"/>
        </w:rPr>
      </w:pPr>
      <w:r w:rsidRPr="00452CB3">
        <w:rPr>
          <w:rFonts w:ascii="Times New Roman" w:eastAsia="Times New Roman" w:hAnsi="Times New Roman"/>
          <w:lang w:eastAsia="en-GB"/>
        </w:rPr>
        <w:fldChar w:fldCharType="begin"/>
      </w:r>
      <w:r w:rsidR="00EA02ED">
        <w:rPr>
          <w:rFonts w:ascii="Times New Roman" w:eastAsia="Times New Roman" w:hAnsi="Times New Roman"/>
          <w:lang w:eastAsia="en-GB"/>
        </w:rPr>
        <w:instrText xml:space="preserve"> INCLUDEPICTURE "C:\\var\\folders\\0g\\2548m9_54fx24q3bq3gk78280000gn\\T\\com.microsoft.Word\\WebArchiveCopyPasteTempFiles\\page1image874304" \* MERGEFORMAT </w:instrText>
      </w:r>
      <w:r w:rsidRPr="00452CB3">
        <w:rPr>
          <w:rFonts w:ascii="Times New Roman" w:eastAsia="Times New Roman" w:hAnsi="Times New Roman"/>
          <w:lang w:eastAsia="en-GB"/>
        </w:rPr>
        <w:fldChar w:fldCharType="separate"/>
      </w:r>
      <w:r w:rsidRPr="006C4F64">
        <w:rPr>
          <w:rFonts w:ascii="Times New Roman" w:eastAsia="Times New Roman" w:hAnsi="Times New Roman"/>
          <w:noProof/>
          <w:lang w:eastAsia="en-GB"/>
        </w:rPr>
        <w:drawing>
          <wp:inline distT="0" distB="0" distL="0" distR="0" wp14:anchorId="23135937" wp14:editId="659DCF7E">
            <wp:extent cx="1687830" cy="1687830"/>
            <wp:effectExtent l="0" t="0" r="1270" b="1270"/>
            <wp:docPr id="5" name="Picture 5" descr="page1image87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74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7830" cy="1687830"/>
                    </a:xfrm>
                    <a:prstGeom prst="rect">
                      <a:avLst/>
                    </a:prstGeom>
                    <a:noFill/>
                    <a:ln>
                      <a:noFill/>
                    </a:ln>
                  </pic:spPr>
                </pic:pic>
              </a:graphicData>
            </a:graphic>
          </wp:inline>
        </w:drawing>
      </w:r>
      <w:r w:rsidRPr="00452CB3">
        <w:rPr>
          <w:rFonts w:ascii="Times New Roman" w:eastAsia="Times New Roman" w:hAnsi="Times New Roman"/>
          <w:lang w:eastAsia="en-GB"/>
        </w:rPr>
        <w:fldChar w:fldCharType="end"/>
      </w:r>
      <w:r w:rsidRPr="00452CB3">
        <w:rPr>
          <w:rFonts w:ascii="Times New Roman" w:eastAsia="Times New Roman" w:hAnsi="Times New Roman"/>
          <w:lang w:eastAsia="en-GB"/>
        </w:rPr>
        <w:fldChar w:fldCharType="begin"/>
      </w:r>
      <w:r w:rsidR="00EA02ED">
        <w:rPr>
          <w:rFonts w:ascii="Times New Roman" w:eastAsia="Times New Roman" w:hAnsi="Times New Roman"/>
          <w:lang w:eastAsia="en-GB"/>
        </w:rPr>
        <w:instrText xml:space="preserve"> INCLUDEPICTURE "C:\\var\\folders\\0g\\2548m9_54fx24q3bq3gk78280000gn\\T\\com.microsoft.Word\\WebArchiveCopyPasteTempFiles\\page1image874112" \* MERGEFORMAT </w:instrText>
      </w:r>
      <w:r w:rsidRPr="00452CB3">
        <w:rPr>
          <w:rFonts w:ascii="Times New Roman" w:eastAsia="Times New Roman" w:hAnsi="Times New Roman"/>
          <w:lang w:eastAsia="en-GB"/>
        </w:rPr>
        <w:fldChar w:fldCharType="separate"/>
      </w:r>
      <w:r w:rsidRPr="006C4F64">
        <w:rPr>
          <w:rFonts w:ascii="Times New Roman" w:eastAsia="Times New Roman" w:hAnsi="Times New Roman"/>
          <w:noProof/>
          <w:lang w:eastAsia="en-GB"/>
        </w:rPr>
        <w:drawing>
          <wp:inline distT="0" distB="0" distL="0" distR="0" wp14:anchorId="38524DA6" wp14:editId="6C9042A9">
            <wp:extent cx="1424305" cy="1749425"/>
            <wp:effectExtent l="0" t="0" r="0" b="3175"/>
            <wp:docPr id="4" name="Picture 4" descr="page1image87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874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305" cy="1749425"/>
                    </a:xfrm>
                    <a:prstGeom prst="rect">
                      <a:avLst/>
                    </a:prstGeom>
                    <a:noFill/>
                    <a:ln>
                      <a:noFill/>
                    </a:ln>
                  </pic:spPr>
                </pic:pic>
              </a:graphicData>
            </a:graphic>
          </wp:inline>
        </w:drawing>
      </w:r>
      <w:r w:rsidRPr="00452CB3">
        <w:rPr>
          <w:rFonts w:ascii="Times New Roman" w:eastAsia="Times New Roman" w:hAnsi="Times New Roman"/>
          <w:lang w:eastAsia="en-GB"/>
        </w:rPr>
        <w:fldChar w:fldCharType="end"/>
      </w:r>
      <w:r w:rsidRPr="00452CB3">
        <w:rPr>
          <w:rFonts w:ascii="Times New Roman" w:eastAsia="Times New Roman" w:hAnsi="Times New Roman"/>
          <w:lang w:eastAsia="en-GB"/>
        </w:rPr>
        <w:fldChar w:fldCharType="begin"/>
      </w:r>
      <w:r w:rsidR="00EA02ED">
        <w:rPr>
          <w:rFonts w:ascii="Times New Roman" w:eastAsia="Times New Roman" w:hAnsi="Times New Roman"/>
          <w:lang w:eastAsia="en-GB"/>
        </w:rPr>
        <w:instrText xml:space="preserve"> INCLUDEPICTURE "C:\\var\\folders\\0g\\2548m9_54fx24q3bq3gk78280000gn\\T\\com.microsoft.Word\\WebArchiveCopyPasteTempFiles\\page1image873920" \* MERGEFORMAT </w:instrText>
      </w:r>
      <w:r w:rsidRPr="00452CB3">
        <w:rPr>
          <w:rFonts w:ascii="Times New Roman" w:eastAsia="Times New Roman" w:hAnsi="Times New Roman"/>
          <w:lang w:eastAsia="en-GB"/>
        </w:rPr>
        <w:fldChar w:fldCharType="separate"/>
      </w:r>
      <w:r w:rsidRPr="006C4F64">
        <w:rPr>
          <w:rFonts w:ascii="Times New Roman" w:eastAsia="Times New Roman" w:hAnsi="Times New Roman"/>
          <w:noProof/>
          <w:lang w:eastAsia="en-GB"/>
        </w:rPr>
        <w:drawing>
          <wp:inline distT="0" distB="0" distL="0" distR="0" wp14:anchorId="4879BBC3" wp14:editId="6D8DAF95">
            <wp:extent cx="1749425" cy="1749425"/>
            <wp:effectExtent l="0" t="0" r="3175" b="3175"/>
            <wp:docPr id="3" name="Picture 3" descr="page1image87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8739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9425" cy="1749425"/>
                    </a:xfrm>
                    <a:prstGeom prst="rect">
                      <a:avLst/>
                    </a:prstGeom>
                    <a:noFill/>
                    <a:ln>
                      <a:noFill/>
                    </a:ln>
                  </pic:spPr>
                </pic:pic>
              </a:graphicData>
            </a:graphic>
          </wp:inline>
        </w:drawing>
      </w:r>
      <w:r w:rsidRPr="00452CB3">
        <w:rPr>
          <w:rFonts w:ascii="Times New Roman" w:eastAsia="Times New Roman" w:hAnsi="Times New Roman"/>
          <w:lang w:eastAsia="en-GB"/>
        </w:rPr>
        <w:fldChar w:fldCharType="end"/>
      </w:r>
      <w:r w:rsidRPr="00452CB3">
        <w:rPr>
          <w:rFonts w:ascii="Times New Roman" w:eastAsia="Times New Roman" w:hAnsi="Times New Roman"/>
          <w:lang w:eastAsia="en-GB"/>
        </w:rPr>
        <w:fldChar w:fldCharType="begin"/>
      </w:r>
      <w:r w:rsidR="00EA02ED">
        <w:rPr>
          <w:rFonts w:ascii="Times New Roman" w:eastAsia="Times New Roman" w:hAnsi="Times New Roman"/>
          <w:lang w:eastAsia="en-GB"/>
        </w:rPr>
        <w:instrText xml:space="preserve"> INCLUDEPICTURE "C:\\var\\folders\\0g\\2548m9_54fx24q3bq3gk78280000gn\\T\\com.microsoft.Word\\WebArchiveCopyPasteTempFiles\\page1image873728" \* MERGEFORMAT </w:instrText>
      </w:r>
      <w:r w:rsidRPr="00452CB3">
        <w:rPr>
          <w:rFonts w:ascii="Times New Roman" w:eastAsia="Times New Roman" w:hAnsi="Times New Roman"/>
          <w:lang w:eastAsia="en-GB"/>
        </w:rPr>
        <w:fldChar w:fldCharType="separate"/>
      </w:r>
      <w:r w:rsidRPr="006C4F64">
        <w:rPr>
          <w:rFonts w:ascii="Times New Roman" w:eastAsia="Times New Roman" w:hAnsi="Times New Roman"/>
          <w:noProof/>
          <w:lang w:eastAsia="en-GB"/>
        </w:rPr>
        <w:drawing>
          <wp:inline distT="0" distB="0" distL="0" distR="0" wp14:anchorId="0124F53F" wp14:editId="2580030A">
            <wp:extent cx="1863725" cy="1679575"/>
            <wp:effectExtent l="0" t="0" r="3175" b="0"/>
            <wp:docPr id="2" name="Picture 2" descr="page1image87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8737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3725" cy="1679575"/>
                    </a:xfrm>
                    <a:prstGeom prst="rect">
                      <a:avLst/>
                    </a:prstGeom>
                    <a:noFill/>
                    <a:ln>
                      <a:noFill/>
                    </a:ln>
                  </pic:spPr>
                </pic:pic>
              </a:graphicData>
            </a:graphic>
          </wp:inline>
        </w:drawing>
      </w:r>
      <w:r w:rsidRPr="00452CB3">
        <w:rPr>
          <w:rFonts w:ascii="Times New Roman" w:eastAsia="Times New Roman" w:hAnsi="Times New Roman"/>
          <w:lang w:eastAsia="en-GB"/>
        </w:rPr>
        <w:fldChar w:fldCharType="end"/>
      </w:r>
      <w:r w:rsidRPr="00452CB3">
        <w:rPr>
          <w:rFonts w:ascii="Times New Roman" w:eastAsia="Times New Roman" w:hAnsi="Times New Roman"/>
          <w:lang w:eastAsia="en-GB"/>
        </w:rPr>
        <w:fldChar w:fldCharType="begin"/>
      </w:r>
      <w:r w:rsidR="00EA02ED">
        <w:rPr>
          <w:rFonts w:ascii="Times New Roman" w:eastAsia="Times New Roman" w:hAnsi="Times New Roman"/>
          <w:lang w:eastAsia="en-GB"/>
        </w:rPr>
        <w:instrText xml:space="preserve"> INCLUDEPICTURE "C:\\var\\folders\\0g\\2548m9_54fx24q3bq3gk78280000gn\\T\\com.microsoft.Word\\WebArchiveCopyPasteTempFiles\\page1image873536" \* MERGEFORMAT </w:instrText>
      </w:r>
      <w:r w:rsidRPr="00452CB3">
        <w:rPr>
          <w:rFonts w:ascii="Times New Roman" w:eastAsia="Times New Roman" w:hAnsi="Times New Roman"/>
          <w:lang w:eastAsia="en-GB"/>
        </w:rPr>
        <w:fldChar w:fldCharType="separate"/>
      </w:r>
      <w:r w:rsidRPr="006C4F64">
        <w:rPr>
          <w:rFonts w:ascii="Times New Roman" w:eastAsia="Times New Roman" w:hAnsi="Times New Roman"/>
          <w:noProof/>
          <w:lang w:eastAsia="en-GB"/>
        </w:rPr>
        <w:drawing>
          <wp:inline distT="0" distB="0" distL="0" distR="0" wp14:anchorId="01E1175B" wp14:editId="4E9B37D3">
            <wp:extent cx="1696720" cy="1696720"/>
            <wp:effectExtent l="0" t="0" r="5080" b="5080"/>
            <wp:docPr id="1" name="Picture 1" descr="page1image87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8735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1696720"/>
                    </a:xfrm>
                    <a:prstGeom prst="rect">
                      <a:avLst/>
                    </a:prstGeom>
                    <a:noFill/>
                    <a:ln>
                      <a:noFill/>
                    </a:ln>
                  </pic:spPr>
                </pic:pic>
              </a:graphicData>
            </a:graphic>
          </wp:inline>
        </w:drawing>
      </w:r>
      <w:r w:rsidRPr="00452CB3">
        <w:rPr>
          <w:rFonts w:ascii="Times New Roman" w:eastAsia="Times New Roman" w:hAnsi="Times New Roman"/>
          <w:lang w:eastAsia="en-GB"/>
        </w:rPr>
        <w:fldChar w:fldCharType="end"/>
      </w:r>
    </w:p>
    <w:p w14:paraId="2B5BAC74" w14:textId="77777777" w:rsidR="007F2478" w:rsidRPr="006C4F64" w:rsidRDefault="007F2478" w:rsidP="00793AC7">
      <w:pPr>
        <w:spacing w:line="360" w:lineRule="auto"/>
        <w:rPr>
          <w:rFonts w:asciiTheme="minorHAnsi" w:hAnsiTheme="minorHAnsi" w:cstheme="minorHAnsi"/>
        </w:rPr>
      </w:pPr>
    </w:p>
    <w:sectPr w:rsidR="007F2478" w:rsidRPr="006C4F64" w:rsidSect="008B6535">
      <w:headerReference w:type="even" r:id="rId16"/>
      <w:headerReference w:type="default" r:id="rId17"/>
      <w:footerReference w:type="even" r:id="rId18"/>
      <w:footerReference w:type="default" r:id="rId19"/>
      <w:headerReference w:type="first" r:id="rId20"/>
      <w:footerReference w:type="first" r:id="rId21"/>
      <w:pgSz w:w="11904" w:h="16840"/>
      <w:pgMar w:top="1135" w:right="1903" w:bottom="712" w:left="1304" w:header="720" w:footer="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54A27" w14:textId="77777777" w:rsidR="00842474" w:rsidRDefault="00842474">
      <w:r>
        <w:separator/>
      </w:r>
    </w:p>
  </w:endnote>
  <w:endnote w:type="continuationSeparator" w:id="0">
    <w:p w14:paraId="41AE0AEB" w14:textId="77777777" w:rsidR="00842474" w:rsidRDefault="0084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57BC" w14:textId="77777777" w:rsidR="00C064DA" w:rsidRDefault="00842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9AD6" w14:textId="77777777" w:rsidR="004C12D7" w:rsidRDefault="003F2EB7">
    <w:pPr>
      <w:pStyle w:val="Footer"/>
    </w:pPr>
    <w:r>
      <w:t xml:space="preserve">Page </w:t>
    </w:r>
    <w:r>
      <w:rPr>
        <w:b/>
        <w:bCs/>
      </w:rPr>
      <w:fldChar w:fldCharType="begin"/>
    </w:r>
    <w:r>
      <w:rPr>
        <w:b/>
        <w:bCs/>
      </w:rPr>
      <w:instrText xml:space="preserve"> PAGE </w:instrText>
    </w:r>
    <w:r>
      <w:rPr>
        <w:b/>
        <w:bCs/>
      </w:rPr>
      <w:fldChar w:fldCharType="separate"/>
    </w:r>
    <w:r>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14:paraId="4179E3BA" w14:textId="77777777" w:rsidR="004C12D7" w:rsidRDefault="00842474">
    <w:pPr>
      <w:pStyle w:val="BodyText"/>
      <w:spacing w:line="14" w:lineRule="auto"/>
      <w:rPr>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952843"/>
      <w:docPartObj>
        <w:docPartGallery w:val="Page Numbers (Bottom of Page)"/>
        <w:docPartUnique/>
      </w:docPartObj>
    </w:sdtPr>
    <w:sdtEndPr>
      <w:rPr>
        <w:noProof/>
      </w:rPr>
    </w:sdtEndPr>
    <w:sdtContent>
      <w:p w14:paraId="31A10479" w14:textId="77777777" w:rsidR="004C12D7" w:rsidRDefault="003F2E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355C52" w14:textId="77777777" w:rsidR="004C12D7" w:rsidRDefault="0084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2CF92" w14:textId="77777777" w:rsidR="00842474" w:rsidRDefault="00842474">
      <w:r>
        <w:separator/>
      </w:r>
    </w:p>
  </w:footnote>
  <w:footnote w:type="continuationSeparator" w:id="0">
    <w:p w14:paraId="57A7A049" w14:textId="77777777" w:rsidR="00842474" w:rsidRDefault="00842474">
      <w:r>
        <w:continuationSeparator/>
      </w:r>
    </w:p>
  </w:footnote>
  <w:footnote w:id="1">
    <w:p w14:paraId="0DE7F8B8" w14:textId="77777777" w:rsidR="004E0A4C" w:rsidRPr="002D6A58" w:rsidRDefault="004E0A4C" w:rsidP="004E0A4C">
      <w:pPr>
        <w:pStyle w:val="FootnoteText"/>
      </w:pPr>
      <w:r>
        <w:rPr>
          <w:rStyle w:val="FootnoteReference"/>
        </w:rPr>
        <w:footnoteRef/>
      </w:r>
      <w:r>
        <w:t xml:space="preserve"> Hodges, C and Steinholz, R (2018) </w:t>
      </w:r>
      <w:r>
        <w:rPr>
          <w:i/>
          <w:iCs/>
        </w:rPr>
        <w:t>Ethical Business Practice and Regulation</w:t>
      </w:r>
      <w:r>
        <w:t xml:space="preserve"> Hart Publishing</w:t>
      </w:r>
    </w:p>
  </w:footnote>
  <w:footnote w:id="2">
    <w:p w14:paraId="173D601F" w14:textId="77777777" w:rsidR="004E0A4C" w:rsidRDefault="004E0A4C" w:rsidP="004E0A4C">
      <w:pPr>
        <w:pStyle w:val="FootnoteText"/>
      </w:pPr>
      <w:r>
        <w:rPr>
          <w:rStyle w:val="FootnoteReference"/>
        </w:rPr>
        <w:footnoteRef/>
      </w:r>
      <w:r w:rsidRPr="002D6A58">
        <w:rPr>
          <w:rFonts w:eastAsia="Times New Roman" w:cstheme="minorHAnsi"/>
          <w:color w:val="000000"/>
          <w:lang w:eastAsia="en-GB"/>
        </w:rPr>
        <w:t>https://assets.publishing.service.gov.uk/government/uploads/system/uploads/attachment_data/file/582283/Regulatory_Futures_Review.pdf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9A11" w14:textId="77777777" w:rsidR="00C064DA" w:rsidRDefault="00842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E08A" w14:textId="77777777" w:rsidR="00C064DA" w:rsidRDefault="00842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72E6" w14:textId="77777777" w:rsidR="00C064DA" w:rsidRDefault="00842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4F8"/>
    <w:multiLevelType w:val="hybridMultilevel"/>
    <w:tmpl w:val="03D2F046"/>
    <w:lvl w:ilvl="0" w:tplc="B8E6C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C41B2"/>
    <w:multiLevelType w:val="multilevel"/>
    <w:tmpl w:val="EA6E0FD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63E03EE"/>
    <w:multiLevelType w:val="hybridMultilevel"/>
    <w:tmpl w:val="BDFAB2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AD3364"/>
    <w:multiLevelType w:val="hybridMultilevel"/>
    <w:tmpl w:val="3D9016E2"/>
    <w:lvl w:ilvl="0" w:tplc="594E675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270E0CAD"/>
    <w:multiLevelType w:val="hybridMultilevel"/>
    <w:tmpl w:val="D2F2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65B42"/>
    <w:multiLevelType w:val="hybridMultilevel"/>
    <w:tmpl w:val="8DF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4C5963"/>
    <w:multiLevelType w:val="hybridMultilevel"/>
    <w:tmpl w:val="4BBC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756F0"/>
    <w:multiLevelType w:val="hybridMultilevel"/>
    <w:tmpl w:val="BDFAB2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FB2E54"/>
    <w:multiLevelType w:val="hybridMultilevel"/>
    <w:tmpl w:val="D144A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816BE8"/>
    <w:multiLevelType w:val="hybridMultilevel"/>
    <w:tmpl w:val="18105C62"/>
    <w:lvl w:ilvl="0" w:tplc="93CA10A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B7"/>
    <w:rsid w:val="000103CB"/>
    <w:rsid w:val="000154DD"/>
    <w:rsid w:val="00032D00"/>
    <w:rsid w:val="00036CA4"/>
    <w:rsid w:val="00036F8C"/>
    <w:rsid w:val="00072218"/>
    <w:rsid w:val="000C0DD4"/>
    <w:rsid w:val="0036205D"/>
    <w:rsid w:val="003F2EB7"/>
    <w:rsid w:val="00452CB3"/>
    <w:rsid w:val="00467524"/>
    <w:rsid w:val="004922F5"/>
    <w:rsid w:val="004C35FF"/>
    <w:rsid w:val="004E0A4C"/>
    <w:rsid w:val="004E3EEA"/>
    <w:rsid w:val="004E4C3A"/>
    <w:rsid w:val="005809C0"/>
    <w:rsid w:val="005E3008"/>
    <w:rsid w:val="00601E2F"/>
    <w:rsid w:val="006347B1"/>
    <w:rsid w:val="00683D42"/>
    <w:rsid w:val="006C4F64"/>
    <w:rsid w:val="006C6C02"/>
    <w:rsid w:val="006F2247"/>
    <w:rsid w:val="006F5B74"/>
    <w:rsid w:val="007037E5"/>
    <w:rsid w:val="007220E1"/>
    <w:rsid w:val="00741149"/>
    <w:rsid w:val="00777C4E"/>
    <w:rsid w:val="00793AC7"/>
    <w:rsid w:val="007B1CEE"/>
    <w:rsid w:val="007B38BC"/>
    <w:rsid w:val="007F2478"/>
    <w:rsid w:val="007F5446"/>
    <w:rsid w:val="00842474"/>
    <w:rsid w:val="008750D7"/>
    <w:rsid w:val="00923B6A"/>
    <w:rsid w:val="00923E8F"/>
    <w:rsid w:val="00952641"/>
    <w:rsid w:val="009E6EED"/>
    <w:rsid w:val="00A25CCA"/>
    <w:rsid w:val="00A535C5"/>
    <w:rsid w:val="00A73452"/>
    <w:rsid w:val="00A83EC3"/>
    <w:rsid w:val="00AA040A"/>
    <w:rsid w:val="00B450F6"/>
    <w:rsid w:val="00B92825"/>
    <w:rsid w:val="00BF7A67"/>
    <w:rsid w:val="00C570B6"/>
    <w:rsid w:val="00CA030E"/>
    <w:rsid w:val="00CA3263"/>
    <w:rsid w:val="00D371D5"/>
    <w:rsid w:val="00D7597E"/>
    <w:rsid w:val="00EA02ED"/>
    <w:rsid w:val="00EF1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6306"/>
  <w15:chartTrackingRefBased/>
  <w15:docId w15:val="{EEB3745B-3787-2646-B748-A7F29372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2EB7"/>
    <w:rPr>
      <w:rFonts w:ascii="Calibri" w:eastAsia="Calibri" w:hAnsi="Calibri" w:cs="Times New Roman"/>
      <w:sz w:val="22"/>
      <w:szCs w:val="22"/>
    </w:rPr>
  </w:style>
  <w:style w:type="paragraph" w:styleId="Heading1">
    <w:name w:val="heading 1"/>
    <w:basedOn w:val="Normal"/>
    <w:next w:val="Normal"/>
    <w:link w:val="Heading1Char"/>
    <w:autoRedefine/>
    <w:uiPriority w:val="9"/>
    <w:qFormat/>
    <w:rsid w:val="003F2EB7"/>
    <w:pPr>
      <w:keepNext/>
      <w:keepLines/>
      <w:numPr>
        <w:numId w:val="2"/>
      </w:numPr>
      <w:spacing w:line="360" w:lineRule="auto"/>
      <w:outlineLvl w:val="0"/>
    </w:pPr>
    <w:rPr>
      <w:rFonts w:ascii="Times New Roman" w:eastAsiaTheme="majorEastAsia" w:hAnsi="Times New Roman"/>
      <w:b/>
      <w:iCs/>
      <w:color w:val="000000"/>
      <w:sz w:val="28"/>
      <w:szCs w:val="32"/>
      <w:lang w:val="en-US" w:eastAsia="zh-TW"/>
    </w:rPr>
  </w:style>
  <w:style w:type="paragraph" w:styleId="Heading2">
    <w:name w:val="heading 2"/>
    <w:basedOn w:val="Normal"/>
    <w:next w:val="Normal"/>
    <w:link w:val="Heading2Char"/>
    <w:autoRedefine/>
    <w:uiPriority w:val="9"/>
    <w:unhideWhenUsed/>
    <w:qFormat/>
    <w:rsid w:val="003F2EB7"/>
    <w:pPr>
      <w:keepNext/>
      <w:keepLines/>
      <w:numPr>
        <w:ilvl w:val="1"/>
        <w:numId w:val="2"/>
      </w:numPr>
      <w:spacing w:before="160" w:after="120" w:line="360" w:lineRule="auto"/>
      <w:outlineLvl w:val="1"/>
    </w:pPr>
    <w:rPr>
      <w:rFonts w:ascii="Times New Roman" w:eastAsiaTheme="majorEastAsia" w:hAnsi="Times New Roman" w:cstheme="majorBidi"/>
      <w:b/>
      <w:iCs/>
      <w:color w:val="000000"/>
      <w:sz w:val="24"/>
      <w:szCs w:val="26"/>
      <w:lang w:val="en-US" w:eastAsia="zh-TW"/>
    </w:rPr>
  </w:style>
  <w:style w:type="paragraph" w:styleId="Heading3">
    <w:name w:val="heading 3"/>
    <w:basedOn w:val="Normal"/>
    <w:next w:val="Normal"/>
    <w:link w:val="Heading3Char"/>
    <w:autoRedefine/>
    <w:uiPriority w:val="9"/>
    <w:unhideWhenUsed/>
    <w:qFormat/>
    <w:rsid w:val="003F2EB7"/>
    <w:pPr>
      <w:keepNext/>
      <w:keepLines/>
      <w:numPr>
        <w:ilvl w:val="2"/>
        <w:numId w:val="2"/>
      </w:numPr>
      <w:spacing w:before="120" w:after="120" w:line="360" w:lineRule="auto"/>
      <w:outlineLvl w:val="2"/>
    </w:pPr>
    <w:rPr>
      <w:rFonts w:ascii="Times New Roman" w:eastAsiaTheme="majorEastAsia" w:hAnsi="Times New Roman" w:cstheme="majorBidi"/>
      <w:b/>
      <w:iCs/>
      <w:color w:val="000000"/>
      <w:sz w:val="24"/>
      <w:szCs w:val="24"/>
      <w:lang w:val="en-US" w:eastAsia="zh-TW"/>
    </w:rPr>
  </w:style>
  <w:style w:type="paragraph" w:styleId="Heading4">
    <w:name w:val="heading 4"/>
    <w:basedOn w:val="Normal"/>
    <w:next w:val="Normal"/>
    <w:link w:val="Heading4Char"/>
    <w:uiPriority w:val="9"/>
    <w:unhideWhenUsed/>
    <w:qFormat/>
    <w:rsid w:val="003F2EB7"/>
    <w:pPr>
      <w:keepNext/>
      <w:keepLines/>
      <w:numPr>
        <w:ilvl w:val="3"/>
        <w:numId w:val="2"/>
      </w:numPr>
      <w:spacing w:before="40" w:line="360" w:lineRule="auto"/>
      <w:outlineLvl w:val="3"/>
    </w:pPr>
    <w:rPr>
      <w:rFonts w:asciiTheme="majorHAnsi" w:eastAsiaTheme="majorEastAsia" w:hAnsiTheme="majorHAnsi" w:cstheme="majorBidi"/>
      <w:i/>
      <w:color w:val="2F5496" w:themeColor="accent1" w:themeShade="BF"/>
      <w:sz w:val="24"/>
      <w:szCs w:val="24"/>
      <w:lang w:val="en-US" w:eastAsia="zh-TW"/>
    </w:rPr>
  </w:style>
  <w:style w:type="paragraph" w:styleId="Heading5">
    <w:name w:val="heading 5"/>
    <w:basedOn w:val="Normal"/>
    <w:next w:val="Normal"/>
    <w:link w:val="Heading5Char"/>
    <w:uiPriority w:val="9"/>
    <w:semiHidden/>
    <w:unhideWhenUsed/>
    <w:qFormat/>
    <w:rsid w:val="003F2EB7"/>
    <w:pPr>
      <w:keepNext/>
      <w:keepLines/>
      <w:numPr>
        <w:ilvl w:val="4"/>
        <w:numId w:val="2"/>
      </w:numPr>
      <w:spacing w:before="40" w:line="360" w:lineRule="auto"/>
      <w:outlineLvl w:val="4"/>
    </w:pPr>
    <w:rPr>
      <w:rFonts w:asciiTheme="majorHAnsi" w:eastAsiaTheme="majorEastAsia" w:hAnsiTheme="majorHAnsi" w:cstheme="majorBidi"/>
      <w:iCs/>
      <w:color w:val="2F5496" w:themeColor="accent1" w:themeShade="BF"/>
      <w:sz w:val="24"/>
      <w:szCs w:val="24"/>
      <w:lang w:val="en-US" w:eastAsia="zh-TW"/>
    </w:rPr>
  </w:style>
  <w:style w:type="paragraph" w:styleId="Heading6">
    <w:name w:val="heading 6"/>
    <w:basedOn w:val="Normal"/>
    <w:next w:val="Normal"/>
    <w:link w:val="Heading6Char"/>
    <w:uiPriority w:val="9"/>
    <w:semiHidden/>
    <w:unhideWhenUsed/>
    <w:qFormat/>
    <w:rsid w:val="003F2EB7"/>
    <w:pPr>
      <w:keepNext/>
      <w:keepLines/>
      <w:numPr>
        <w:ilvl w:val="5"/>
        <w:numId w:val="2"/>
      </w:numPr>
      <w:spacing w:before="40" w:line="360" w:lineRule="auto"/>
      <w:outlineLvl w:val="5"/>
    </w:pPr>
    <w:rPr>
      <w:rFonts w:asciiTheme="majorHAnsi" w:eastAsiaTheme="majorEastAsia" w:hAnsiTheme="majorHAnsi" w:cstheme="majorBidi"/>
      <w:iCs/>
      <w:color w:val="1F3763" w:themeColor="accent1" w:themeShade="7F"/>
      <w:sz w:val="24"/>
      <w:szCs w:val="24"/>
      <w:lang w:val="en-US" w:eastAsia="zh-TW"/>
    </w:rPr>
  </w:style>
  <w:style w:type="paragraph" w:styleId="Heading7">
    <w:name w:val="heading 7"/>
    <w:basedOn w:val="Normal"/>
    <w:next w:val="Normal"/>
    <w:link w:val="Heading7Char"/>
    <w:uiPriority w:val="9"/>
    <w:semiHidden/>
    <w:unhideWhenUsed/>
    <w:qFormat/>
    <w:rsid w:val="003F2EB7"/>
    <w:pPr>
      <w:keepNext/>
      <w:keepLines/>
      <w:numPr>
        <w:ilvl w:val="6"/>
        <w:numId w:val="2"/>
      </w:numPr>
      <w:spacing w:before="40" w:line="360" w:lineRule="auto"/>
      <w:outlineLvl w:val="6"/>
    </w:pPr>
    <w:rPr>
      <w:rFonts w:asciiTheme="majorHAnsi" w:eastAsiaTheme="majorEastAsia" w:hAnsiTheme="majorHAnsi" w:cstheme="majorBidi"/>
      <w:i/>
      <w:color w:val="1F3763" w:themeColor="accent1" w:themeShade="7F"/>
      <w:sz w:val="24"/>
      <w:szCs w:val="24"/>
      <w:lang w:val="en-US" w:eastAsia="zh-TW"/>
    </w:rPr>
  </w:style>
  <w:style w:type="paragraph" w:styleId="Heading8">
    <w:name w:val="heading 8"/>
    <w:basedOn w:val="Normal"/>
    <w:next w:val="Normal"/>
    <w:link w:val="Heading8Char"/>
    <w:uiPriority w:val="9"/>
    <w:semiHidden/>
    <w:unhideWhenUsed/>
    <w:qFormat/>
    <w:rsid w:val="003F2EB7"/>
    <w:pPr>
      <w:keepNext/>
      <w:keepLines/>
      <w:numPr>
        <w:ilvl w:val="7"/>
        <w:numId w:val="2"/>
      </w:numPr>
      <w:spacing w:before="40" w:line="360" w:lineRule="auto"/>
      <w:outlineLvl w:val="7"/>
    </w:pPr>
    <w:rPr>
      <w:rFonts w:asciiTheme="majorHAnsi" w:eastAsiaTheme="majorEastAsia" w:hAnsiTheme="majorHAnsi" w:cstheme="majorBidi"/>
      <w:iCs/>
      <w:color w:val="272727" w:themeColor="text1" w:themeTint="D8"/>
      <w:sz w:val="21"/>
      <w:szCs w:val="21"/>
      <w:lang w:val="en-US" w:eastAsia="zh-TW"/>
    </w:rPr>
  </w:style>
  <w:style w:type="paragraph" w:styleId="Heading9">
    <w:name w:val="heading 9"/>
    <w:basedOn w:val="Normal"/>
    <w:next w:val="Normal"/>
    <w:link w:val="Heading9Char"/>
    <w:uiPriority w:val="9"/>
    <w:semiHidden/>
    <w:unhideWhenUsed/>
    <w:qFormat/>
    <w:rsid w:val="003F2EB7"/>
    <w:pPr>
      <w:keepNext/>
      <w:keepLines/>
      <w:numPr>
        <w:ilvl w:val="8"/>
        <w:numId w:val="2"/>
      </w:numPr>
      <w:spacing w:before="40" w:line="360" w:lineRule="auto"/>
      <w:outlineLvl w:val="8"/>
    </w:pPr>
    <w:rPr>
      <w:rFonts w:asciiTheme="majorHAnsi" w:eastAsiaTheme="majorEastAsia" w:hAnsiTheme="majorHAnsi" w:cstheme="majorBidi"/>
      <w:i/>
      <w:color w:val="272727" w:themeColor="text1" w:themeTint="D8"/>
      <w:sz w:val="21"/>
      <w:szCs w:val="21"/>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EB7"/>
    <w:rPr>
      <w:rFonts w:ascii="Times New Roman" w:eastAsiaTheme="majorEastAsia" w:hAnsi="Times New Roman" w:cs="Times New Roman"/>
      <w:b/>
      <w:iCs/>
      <w:color w:val="000000"/>
      <w:sz w:val="28"/>
      <w:szCs w:val="32"/>
      <w:lang w:val="en-US" w:eastAsia="zh-TW"/>
    </w:rPr>
  </w:style>
  <w:style w:type="character" w:customStyle="1" w:styleId="Heading2Char">
    <w:name w:val="Heading 2 Char"/>
    <w:basedOn w:val="DefaultParagraphFont"/>
    <w:link w:val="Heading2"/>
    <w:uiPriority w:val="9"/>
    <w:rsid w:val="003F2EB7"/>
    <w:rPr>
      <w:rFonts w:ascii="Times New Roman" w:eastAsiaTheme="majorEastAsia" w:hAnsi="Times New Roman" w:cstheme="majorBidi"/>
      <w:b/>
      <w:iCs/>
      <w:color w:val="000000"/>
      <w:szCs w:val="26"/>
      <w:lang w:val="en-US" w:eastAsia="zh-TW"/>
    </w:rPr>
  </w:style>
  <w:style w:type="character" w:customStyle="1" w:styleId="Heading3Char">
    <w:name w:val="Heading 3 Char"/>
    <w:basedOn w:val="DefaultParagraphFont"/>
    <w:link w:val="Heading3"/>
    <w:uiPriority w:val="9"/>
    <w:rsid w:val="003F2EB7"/>
    <w:rPr>
      <w:rFonts w:ascii="Times New Roman" w:eastAsiaTheme="majorEastAsia" w:hAnsi="Times New Roman" w:cstheme="majorBidi"/>
      <w:b/>
      <w:iCs/>
      <w:color w:val="000000"/>
      <w:lang w:val="en-US" w:eastAsia="zh-TW"/>
    </w:rPr>
  </w:style>
  <w:style w:type="character" w:customStyle="1" w:styleId="Heading4Char">
    <w:name w:val="Heading 4 Char"/>
    <w:basedOn w:val="DefaultParagraphFont"/>
    <w:link w:val="Heading4"/>
    <w:uiPriority w:val="9"/>
    <w:rsid w:val="003F2EB7"/>
    <w:rPr>
      <w:rFonts w:asciiTheme="majorHAnsi" w:eastAsiaTheme="majorEastAsia" w:hAnsiTheme="majorHAnsi" w:cstheme="majorBidi"/>
      <w:i/>
      <w:color w:val="2F5496" w:themeColor="accent1" w:themeShade="BF"/>
      <w:lang w:val="en-US" w:eastAsia="zh-TW"/>
    </w:rPr>
  </w:style>
  <w:style w:type="character" w:customStyle="1" w:styleId="Heading5Char">
    <w:name w:val="Heading 5 Char"/>
    <w:basedOn w:val="DefaultParagraphFont"/>
    <w:link w:val="Heading5"/>
    <w:uiPriority w:val="9"/>
    <w:semiHidden/>
    <w:rsid w:val="003F2EB7"/>
    <w:rPr>
      <w:rFonts w:asciiTheme="majorHAnsi" w:eastAsiaTheme="majorEastAsia" w:hAnsiTheme="majorHAnsi" w:cstheme="majorBidi"/>
      <w:iCs/>
      <w:color w:val="2F5496" w:themeColor="accent1" w:themeShade="BF"/>
      <w:lang w:val="en-US" w:eastAsia="zh-TW"/>
    </w:rPr>
  </w:style>
  <w:style w:type="character" w:customStyle="1" w:styleId="Heading6Char">
    <w:name w:val="Heading 6 Char"/>
    <w:basedOn w:val="DefaultParagraphFont"/>
    <w:link w:val="Heading6"/>
    <w:uiPriority w:val="9"/>
    <w:semiHidden/>
    <w:rsid w:val="003F2EB7"/>
    <w:rPr>
      <w:rFonts w:asciiTheme="majorHAnsi" w:eastAsiaTheme="majorEastAsia" w:hAnsiTheme="majorHAnsi" w:cstheme="majorBidi"/>
      <w:iCs/>
      <w:color w:val="1F3763" w:themeColor="accent1" w:themeShade="7F"/>
      <w:lang w:val="en-US" w:eastAsia="zh-TW"/>
    </w:rPr>
  </w:style>
  <w:style w:type="character" w:customStyle="1" w:styleId="Heading7Char">
    <w:name w:val="Heading 7 Char"/>
    <w:basedOn w:val="DefaultParagraphFont"/>
    <w:link w:val="Heading7"/>
    <w:uiPriority w:val="9"/>
    <w:semiHidden/>
    <w:rsid w:val="003F2EB7"/>
    <w:rPr>
      <w:rFonts w:asciiTheme="majorHAnsi" w:eastAsiaTheme="majorEastAsia" w:hAnsiTheme="majorHAnsi" w:cstheme="majorBidi"/>
      <w:i/>
      <w:color w:val="1F3763" w:themeColor="accent1" w:themeShade="7F"/>
      <w:lang w:val="en-US" w:eastAsia="zh-TW"/>
    </w:rPr>
  </w:style>
  <w:style w:type="character" w:customStyle="1" w:styleId="Heading8Char">
    <w:name w:val="Heading 8 Char"/>
    <w:basedOn w:val="DefaultParagraphFont"/>
    <w:link w:val="Heading8"/>
    <w:uiPriority w:val="9"/>
    <w:semiHidden/>
    <w:rsid w:val="003F2EB7"/>
    <w:rPr>
      <w:rFonts w:asciiTheme="majorHAnsi" w:eastAsiaTheme="majorEastAsia" w:hAnsiTheme="majorHAnsi" w:cstheme="majorBidi"/>
      <w:iCs/>
      <w:color w:val="272727" w:themeColor="text1" w:themeTint="D8"/>
      <w:sz w:val="21"/>
      <w:szCs w:val="21"/>
      <w:lang w:val="en-US" w:eastAsia="zh-TW"/>
    </w:rPr>
  </w:style>
  <w:style w:type="character" w:customStyle="1" w:styleId="Heading9Char">
    <w:name w:val="Heading 9 Char"/>
    <w:basedOn w:val="DefaultParagraphFont"/>
    <w:link w:val="Heading9"/>
    <w:uiPriority w:val="9"/>
    <w:semiHidden/>
    <w:rsid w:val="003F2EB7"/>
    <w:rPr>
      <w:rFonts w:asciiTheme="majorHAnsi" w:eastAsiaTheme="majorEastAsia" w:hAnsiTheme="majorHAnsi" w:cstheme="majorBidi"/>
      <w:i/>
      <w:color w:val="272727" w:themeColor="text1" w:themeTint="D8"/>
      <w:sz w:val="21"/>
      <w:szCs w:val="21"/>
      <w:lang w:val="en-US" w:eastAsia="zh-TW"/>
    </w:rPr>
  </w:style>
  <w:style w:type="paragraph" w:styleId="BodyText">
    <w:name w:val="Body Text"/>
    <w:basedOn w:val="Normal"/>
    <w:link w:val="BodyTextChar"/>
    <w:uiPriority w:val="1"/>
    <w:qFormat/>
    <w:rsid w:val="003F2EB7"/>
    <w:pPr>
      <w:spacing w:after="120"/>
    </w:pPr>
    <w:rPr>
      <w:rFonts w:eastAsia="Times New Roman"/>
      <w:lang w:eastAsia="en-AU"/>
    </w:rPr>
  </w:style>
  <w:style w:type="character" w:customStyle="1" w:styleId="BodyTextChar">
    <w:name w:val="Body Text Char"/>
    <w:basedOn w:val="DefaultParagraphFont"/>
    <w:link w:val="BodyText"/>
    <w:uiPriority w:val="1"/>
    <w:rsid w:val="003F2EB7"/>
    <w:rPr>
      <w:rFonts w:ascii="Calibri" w:eastAsia="Times New Roman" w:hAnsi="Calibri" w:cs="Times New Roman"/>
      <w:sz w:val="22"/>
      <w:szCs w:val="22"/>
      <w:lang w:eastAsia="en-AU"/>
    </w:rPr>
  </w:style>
  <w:style w:type="paragraph" w:styleId="Footer">
    <w:name w:val="footer"/>
    <w:basedOn w:val="Normal"/>
    <w:link w:val="FooterChar"/>
    <w:uiPriority w:val="99"/>
    <w:rsid w:val="003F2EB7"/>
    <w:pPr>
      <w:suppressLineNumbers/>
      <w:tabs>
        <w:tab w:val="center" w:pos="4818"/>
        <w:tab w:val="right" w:pos="9637"/>
      </w:tabs>
    </w:pPr>
    <w:rPr>
      <w:rFonts w:eastAsia="Times New Roman"/>
      <w:lang w:eastAsia="en-AU"/>
    </w:rPr>
  </w:style>
  <w:style w:type="character" w:customStyle="1" w:styleId="FooterChar">
    <w:name w:val="Footer Char"/>
    <w:basedOn w:val="DefaultParagraphFont"/>
    <w:link w:val="Footer"/>
    <w:uiPriority w:val="99"/>
    <w:rsid w:val="003F2EB7"/>
    <w:rPr>
      <w:rFonts w:ascii="Calibri" w:eastAsia="Times New Roman" w:hAnsi="Calibri" w:cs="Times New Roman"/>
      <w:sz w:val="22"/>
      <w:szCs w:val="22"/>
      <w:lang w:eastAsia="en-AU"/>
    </w:rPr>
  </w:style>
  <w:style w:type="paragraph" w:styleId="Header">
    <w:name w:val="header"/>
    <w:basedOn w:val="Normal"/>
    <w:link w:val="HeaderChar"/>
    <w:uiPriority w:val="99"/>
    <w:rsid w:val="003F2EB7"/>
    <w:pPr>
      <w:tabs>
        <w:tab w:val="center" w:pos="4153"/>
        <w:tab w:val="right" w:pos="8306"/>
      </w:tabs>
    </w:pPr>
    <w:rPr>
      <w:rFonts w:eastAsia="Times New Roman"/>
      <w:lang w:eastAsia="en-AU"/>
    </w:rPr>
  </w:style>
  <w:style w:type="character" w:customStyle="1" w:styleId="HeaderChar">
    <w:name w:val="Header Char"/>
    <w:basedOn w:val="DefaultParagraphFont"/>
    <w:link w:val="Header"/>
    <w:uiPriority w:val="99"/>
    <w:rsid w:val="003F2EB7"/>
    <w:rPr>
      <w:rFonts w:ascii="Calibri" w:eastAsia="Times New Roman" w:hAnsi="Calibri" w:cs="Times New Roman"/>
      <w:sz w:val="22"/>
      <w:szCs w:val="22"/>
      <w:lang w:eastAsia="en-AU"/>
    </w:rPr>
  </w:style>
  <w:style w:type="paragraph" w:styleId="ListParagraph">
    <w:name w:val="List Paragraph"/>
    <w:basedOn w:val="Normal"/>
    <w:link w:val="ListParagraphChar"/>
    <w:uiPriority w:val="34"/>
    <w:qFormat/>
    <w:rsid w:val="003F2EB7"/>
    <w:pPr>
      <w:ind w:left="720"/>
      <w:contextualSpacing/>
    </w:pPr>
    <w:rPr>
      <w:rFonts w:eastAsia="Times New Roman"/>
      <w:lang w:eastAsia="en-AU"/>
    </w:rPr>
  </w:style>
  <w:style w:type="character" w:customStyle="1" w:styleId="ListParagraphChar">
    <w:name w:val="List Paragraph Char"/>
    <w:link w:val="ListParagraph"/>
    <w:uiPriority w:val="34"/>
    <w:locked/>
    <w:rsid w:val="003F2EB7"/>
    <w:rPr>
      <w:rFonts w:ascii="Calibri" w:eastAsia="Times New Roman" w:hAnsi="Calibri" w:cs="Times New Roman"/>
      <w:sz w:val="22"/>
      <w:szCs w:val="22"/>
      <w:lang w:eastAsia="en-AU"/>
    </w:rPr>
  </w:style>
  <w:style w:type="paragraph" w:styleId="Subtitle">
    <w:name w:val="Subtitle"/>
    <w:basedOn w:val="Normal"/>
    <w:next w:val="Normal"/>
    <w:link w:val="SubtitleChar"/>
    <w:autoRedefine/>
    <w:uiPriority w:val="11"/>
    <w:qFormat/>
    <w:rsid w:val="003F2EB7"/>
    <w:pPr>
      <w:numPr>
        <w:ilvl w:val="1"/>
      </w:numPr>
      <w:spacing w:before="120" w:after="280" w:line="360" w:lineRule="auto"/>
    </w:pPr>
    <w:rPr>
      <w:rFonts w:ascii="Times New Roman" w:eastAsiaTheme="minorEastAsia" w:hAnsi="Times New Roman" w:cstheme="minorBidi"/>
      <w:b/>
      <w:iCs/>
      <w:color w:val="000000"/>
      <w:spacing w:val="15"/>
      <w:sz w:val="28"/>
      <w:lang w:val="en-US" w:eastAsia="zh-TW"/>
    </w:rPr>
  </w:style>
  <w:style w:type="character" w:customStyle="1" w:styleId="SubtitleChar">
    <w:name w:val="Subtitle Char"/>
    <w:basedOn w:val="DefaultParagraphFont"/>
    <w:link w:val="Subtitle"/>
    <w:uiPriority w:val="11"/>
    <w:rsid w:val="003F2EB7"/>
    <w:rPr>
      <w:rFonts w:ascii="Times New Roman" w:eastAsiaTheme="minorEastAsia" w:hAnsi="Times New Roman"/>
      <w:b/>
      <w:iCs/>
      <w:color w:val="000000"/>
      <w:spacing w:val="15"/>
      <w:sz w:val="28"/>
      <w:szCs w:val="22"/>
      <w:lang w:val="en-US" w:eastAsia="zh-TW"/>
    </w:rPr>
  </w:style>
  <w:style w:type="paragraph" w:styleId="Title">
    <w:name w:val="Title"/>
    <w:basedOn w:val="Normal"/>
    <w:next w:val="Normal"/>
    <w:link w:val="TitleChar"/>
    <w:autoRedefine/>
    <w:uiPriority w:val="10"/>
    <w:qFormat/>
    <w:rsid w:val="003F2EB7"/>
    <w:pPr>
      <w:spacing w:before="240" w:after="240" w:line="480" w:lineRule="auto"/>
      <w:contextualSpacing/>
      <w:jc w:val="center"/>
    </w:pPr>
    <w:rPr>
      <w:rFonts w:ascii="Times New Roman" w:eastAsiaTheme="majorEastAsia" w:hAnsi="Times New Roman"/>
      <w:b/>
      <w:iCs/>
      <w:color w:val="000000"/>
      <w:spacing w:val="-10"/>
      <w:kern w:val="28"/>
      <w:sz w:val="28"/>
      <w:szCs w:val="28"/>
      <w:lang w:eastAsia="ar-SA"/>
    </w:rPr>
  </w:style>
  <w:style w:type="character" w:customStyle="1" w:styleId="TitleChar">
    <w:name w:val="Title Char"/>
    <w:basedOn w:val="DefaultParagraphFont"/>
    <w:link w:val="Title"/>
    <w:uiPriority w:val="10"/>
    <w:rsid w:val="003F2EB7"/>
    <w:rPr>
      <w:rFonts w:ascii="Times New Roman" w:eastAsiaTheme="majorEastAsia" w:hAnsi="Times New Roman" w:cs="Times New Roman"/>
      <w:b/>
      <w:iCs/>
      <w:color w:val="000000"/>
      <w:spacing w:val="-10"/>
      <w:kern w:val="28"/>
      <w:sz w:val="28"/>
      <w:szCs w:val="28"/>
      <w:lang w:eastAsia="ar-SA"/>
    </w:rPr>
  </w:style>
  <w:style w:type="paragraph" w:styleId="BalloonText">
    <w:name w:val="Balloon Text"/>
    <w:basedOn w:val="Normal"/>
    <w:link w:val="BalloonTextChar"/>
    <w:uiPriority w:val="99"/>
    <w:semiHidden/>
    <w:unhideWhenUsed/>
    <w:rsid w:val="003F2EB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2EB7"/>
    <w:rPr>
      <w:rFonts w:ascii="Times New Roman" w:eastAsia="Calibri" w:hAnsi="Times New Roman" w:cs="Times New Roman"/>
      <w:sz w:val="18"/>
      <w:szCs w:val="18"/>
    </w:rPr>
  </w:style>
  <w:style w:type="paragraph" w:styleId="NormalWeb">
    <w:name w:val="Normal (Web)"/>
    <w:basedOn w:val="Normal"/>
    <w:uiPriority w:val="99"/>
    <w:semiHidden/>
    <w:unhideWhenUsed/>
    <w:rsid w:val="006C6C02"/>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0C0DD4"/>
    <w:rPr>
      <w:sz w:val="16"/>
      <w:szCs w:val="16"/>
    </w:rPr>
  </w:style>
  <w:style w:type="paragraph" w:styleId="CommentText">
    <w:name w:val="annotation text"/>
    <w:basedOn w:val="Normal"/>
    <w:link w:val="CommentTextChar"/>
    <w:uiPriority w:val="99"/>
    <w:semiHidden/>
    <w:unhideWhenUsed/>
    <w:rsid w:val="000C0DD4"/>
    <w:rPr>
      <w:sz w:val="20"/>
      <w:szCs w:val="20"/>
    </w:rPr>
  </w:style>
  <w:style w:type="character" w:customStyle="1" w:styleId="CommentTextChar">
    <w:name w:val="Comment Text Char"/>
    <w:basedOn w:val="DefaultParagraphFont"/>
    <w:link w:val="CommentText"/>
    <w:uiPriority w:val="99"/>
    <w:semiHidden/>
    <w:rsid w:val="000C0D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0DD4"/>
    <w:rPr>
      <w:b/>
      <w:bCs/>
    </w:rPr>
  </w:style>
  <w:style w:type="character" w:customStyle="1" w:styleId="CommentSubjectChar">
    <w:name w:val="Comment Subject Char"/>
    <w:basedOn w:val="CommentTextChar"/>
    <w:link w:val="CommentSubject"/>
    <w:uiPriority w:val="99"/>
    <w:semiHidden/>
    <w:rsid w:val="000C0DD4"/>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4E0A4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E0A4C"/>
    <w:rPr>
      <w:sz w:val="20"/>
      <w:szCs w:val="20"/>
    </w:rPr>
  </w:style>
  <w:style w:type="character" w:styleId="FootnoteReference">
    <w:name w:val="footnote reference"/>
    <w:basedOn w:val="DefaultParagraphFont"/>
    <w:uiPriority w:val="99"/>
    <w:semiHidden/>
    <w:unhideWhenUsed/>
    <w:rsid w:val="004E0A4C"/>
    <w:rPr>
      <w:vertAlign w:val="superscript"/>
    </w:rPr>
  </w:style>
  <w:style w:type="character" w:styleId="Hyperlink">
    <w:name w:val="Hyperlink"/>
    <w:basedOn w:val="DefaultParagraphFont"/>
    <w:uiPriority w:val="99"/>
    <w:unhideWhenUsed/>
    <w:rsid w:val="00072218"/>
    <w:rPr>
      <w:color w:val="0000FF"/>
      <w:u w:val="single"/>
    </w:rPr>
  </w:style>
  <w:style w:type="character" w:styleId="UnresolvedMention">
    <w:name w:val="Unresolved Mention"/>
    <w:basedOn w:val="DefaultParagraphFont"/>
    <w:uiPriority w:val="99"/>
    <w:semiHidden/>
    <w:unhideWhenUsed/>
    <w:rsid w:val="006347B1"/>
    <w:rPr>
      <w:color w:val="605E5C"/>
      <w:shd w:val="clear" w:color="auto" w:fill="E1DFDD"/>
    </w:rPr>
  </w:style>
  <w:style w:type="table" w:styleId="TableGrid">
    <w:name w:val="Table Grid"/>
    <w:basedOn w:val="TableNormal"/>
    <w:uiPriority w:val="59"/>
    <w:rsid w:val="00A83EC3"/>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1797">
      <w:bodyDiv w:val="1"/>
      <w:marLeft w:val="0"/>
      <w:marRight w:val="0"/>
      <w:marTop w:val="0"/>
      <w:marBottom w:val="0"/>
      <w:divBdr>
        <w:top w:val="none" w:sz="0" w:space="0" w:color="auto"/>
        <w:left w:val="none" w:sz="0" w:space="0" w:color="auto"/>
        <w:bottom w:val="none" w:sz="0" w:space="0" w:color="auto"/>
        <w:right w:val="none" w:sz="0" w:space="0" w:color="auto"/>
      </w:divBdr>
      <w:divsChild>
        <w:div w:id="69162157">
          <w:marLeft w:val="0"/>
          <w:marRight w:val="0"/>
          <w:marTop w:val="0"/>
          <w:marBottom w:val="0"/>
          <w:divBdr>
            <w:top w:val="none" w:sz="0" w:space="0" w:color="auto"/>
            <w:left w:val="none" w:sz="0" w:space="0" w:color="auto"/>
            <w:bottom w:val="none" w:sz="0" w:space="0" w:color="auto"/>
            <w:right w:val="none" w:sz="0" w:space="0" w:color="auto"/>
          </w:divBdr>
          <w:divsChild>
            <w:div w:id="379474850">
              <w:marLeft w:val="0"/>
              <w:marRight w:val="0"/>
              <w:marTop w:val="0"/>
              <w:marBottom w:val="0"/>
              <w:divBdr>
                <w:top w:val="none" w:sz="0" w:space="0" w:color="auto"/>
                <w:left w:val="none" w:sz="0" w:space="0" w:color="auto"/>
                <w:bottom w:val="none" w:sz="0" w:space="0" w:color="auto"/>
                <w:right w:val="none" w:sz="0" w:space="0" w:color="auto"/>
              </w:divBdr>
              <w:divsChild>
                <w:div w:id="3630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2540">
      <w:bodyDiv w:val="1"/>
      <w:marLeft w:val="0"/>
      <w:marRight w:val="0"/>
      <w:marTop w:val="0"/>
      <w:marBottom w:val="0"/>
      <w:divBdr>
        <w:top w:val="none" w:sz="0" w:space="0" w:color="auto"/>
        <w:left w:val="none" w:sz="0" w:space="0" w:color="auto"/>
        <w:bottom w:val="none" w:sz="0" w:space="0" w:color="auto"/>
        <w:right w:val="none" w:sz="0" w:space="0" w:color="auto"/>
      </w:divBdr>
      <w:divsChild>
        <w:div w:id="1944877376">
          <w:marLeft w:val="0"/>
          <w:marRight w:val="0"/>
          <w:marTop w:val="0"/>
          <w:marBottom w:val="0"/>
          <w:divBdr>
            <w:top w:val="none" w:sz="0" w:space="0" w:color="auto"/>
            <w:left w:val="none" w:sz="0" w:space="0" w:color="auto"/>
            <w:bottom w:val="none" w:sz="0" w:space="0" w:color="auto"/>
            <w:right w:val="none" w:sz="0" w:space="0" w:color="auto"/>
          </w:divBdr>
          <w:divsChild>
            <w:div w:id="2123724544">
              <w:marLeft w:val="0"/>
              <w:marRight w:val="0"/>
              <w:marTop w:val="0"/>
              <w:marBottom w:val="0"/>
              <w:divBdr>
                <w:top w:val="none" w:sz="0" w:space="0" w:color="auto"/>
                <w:left w:val="none" w:sz="0" w:space="0" w:color="auto"/>
                <w:bottom w:val="none" w:sz="0" w:space="0" w:color="auto"/>
                <w:right w:val="none" w:sz="0" w:space="0" w:color="auto"/>
              </w:divBdr>
              <w:divsChild>
                <w:div w:id="11795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s://www.qldwater.com.au/Skills_Legislative_Traini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Chapman</dc:creator>
  <cp:keywords/>
  <dc:description/>
  <cp:lastModifiedBy>Simon Millcock</cp:lastModifiedBy>
  <cp:revision>2</cp:revision>
  <dcterms:created xsi:type="dcterms:W3CDTF">2019-10-29T19:44:00Z</dcterms:created>
  <dcterms:modified xsi:type="dcterms:W3CDTF">2019-10-29T19:44:00Z</dcterms:modified>
</cp:coreProperties>
</file>